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76b6" w14:textId="062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Талгарского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25 февраля 2014 года N 28-155. Зарегистрировано Департаментом юстиции Алматинской области 20 марта 2014 года N 2621. Утратило силу решением Талгарского районного маслихата Алматинской области от 16 июня 2016 года № 5-25</w:t>
      </w:r>
    </w:p>
    <w:p>
      <w:pPr>
        <w:spacing w:after="0"/>
        <w:ind w:left="0"/>
        <w:jc w:val="left"/>
      </w:pPr>
      <w:r>
        <w:rPr>
          <w:rFonts w:ascii="Times New Roman"/>
          <w:b w:val="false"/>
          <w:i w:val="false"/>
          <w:color w:val="ff0000"/>
          <w:sz w:val="28"/>
        </w:rPr>
        <w:t xml:space="preserve">      Сноска. Утратило силу решением Талгарского районного маслихата Алматинской области от 16.06.2016 </w:t>
      </w:r>
      <w:r>
        <w:rPr>
          <w:rFonts w:ascii="Times New Roman"/>
          <w:b w:val="false"/>
          <w:i w:val="false"/>
          <w:color w:val="ff0000"/>
          <w:sz w:val="28"/>
        </w:rPr>
        <w:t>№ 5-25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Талгарский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Талгарского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Базилхан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Тебериков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Талгарского районного маслихата N 28-155 от 25 февраля 2014 года "Об утверждении регламента Талгарского районного маслихата"</w:t>
            </w:r>
          </w:p>
        </w:tc>
      </w:tr>
    </w:tbl>
    <w:bookmarkStart w:name="z6" w:id="0"/>
    <w:p>
      <w:pPr>
        <w:spacing w:after="0"/>
        <w:ind w:left="0"/>
        <w:jc w:val="left"/>
      </w:pPr>
      <w:r>
        <w:rPr>
          <w:rFonts w:ascii="Times New Roman"/>
          <w:b/>
          <w:i w:val="false"/>
          <w:color w:val="000000"/>
        </w:rPr>
        <w:t xml:space="preserve"> Регламент Талгарского районного маслихата</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Талгарского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Талгарский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Талгарского районного маслихата Алматинской области от 06.05.2014 </w:t>
      </w:r>
      <w:r>
        <w:rPr>
          <w:rFonts w:ascii="Times New Roman"/>
          <w:b w:val="false"/>
          <w:i w:val="false"/>
          <w:color w:val="ff0000"/>
          <w:sz w:val="28"/>
        </w:rPr>
        <w:t>N 32-176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rPr>
          <w:rFonts w:ascii="Times New Roman"/>
          <w:b/>
          <w:i w:val="false"/>
          <w:color w:val="000000"/>
        </w:rPr>
        <w:t xml:space="preserve">  5.1. Председатель сессии маслихата</w:t>
      </w:r>
    </w:p>
    <w:bookmarkEnd w:id="5"/>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