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6ecf" w14:textId="5f86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 новой редакции регламента государственной услуги "Учет иностранных периодических печатных изданий, распространяемых на территории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августа 2014 года № 229. Зарегистрировано Департаментом юстиции Жамбылской области 8 октября 2014 года № 2341. Утратило силу постановлением акимата Жамбылской области от 25 июня 2015 года №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25.06.2015 </w:t>
      </w:r>
      <w:r>
        <w:rPr>
          <w:rFonts w:ascii="Times New Roman"/>
          <w:b w:val="false"/>
          <w:i w:val="false"/>
          <w:color w:val="ff0000"/>
          <w:sz w:val="28"/>
        </w:rPr>
        <w:t>№ 137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в новой редакции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Жамбылской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Коммунальному государственному учреждению "Управление внутренней политики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постановление акимата Жамбылской области от 27 марта 2012 года </w:t>
      </w:r>
      <w:r>
        <w:rPr>
          <w:rFonts w:ascii="Times New Roman"/>
          <w:b w:val="false"/>
          <w:i w:val="false"/>
          <w:color w:val="000000"/>
          <w:sz w:val="28"/>
        </w:rPr>
        <w:t>№ 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"Учет иностранных периодических печатных изданий, распространяемых на территории Жамбылской области" (зарегистрировано в Реестре государственной регистрации нормативных правовых актов за № 2206, опубликовано 13 мая 2014 года в газетах "Знамя труда" № 49 (17922) и "Ақ жол" № 68-69 (17925-17926).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первого заместителя акима области Орынбекова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2014 года № 229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Регламент государственной услуги "Учет иностранных периодических печатных изданий, распространяемых на территории Жамбылской области"</w:t>
      </w: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услуга "Учет иностранных периодических печатных изданий, распространяемых на территории Жамбылской области" (далее – государственная услуга) оказывается коммунальным государственным учреждением "Управление внутренней политики акимата Жамбылской области"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"Учет иностранных периодических печатных изданий, распространяемых на территории области, города республиканского значения, столицы", утвержденного постановлением Правительства Республики Казахстан от 5 марта 2014 года № 180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 услуга оказывается на бесплатной основе физическим и юридическим лицам (далее -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 обслуживания населения);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– справка об учете иностранных периодических печатных изданий, распространяемых на территории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Форма предоставления результата оказания государственной услуги: электронная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обращения за получением справки на бумажном носителе, результат оказания государственной услуги оформляется в электронном формате, распечатывается и заверяется печатью и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 </w:t>
      </w:r>
      <w:r>
        <w:rPr>
          <w:rFonts w:ascii="Times New Roman"/>
          <w:b w:val="false"/>
          <w:i w:val="false"/>
          <w:color w:val="000000"/>
          <w:sz w:val="28"/>
        </w:rPr>
        <w:t>Основанием для начала процедуры (действия) по оказанию государственной услуги является получение услугодателем документов услугополучателя, необходимых для оказания государственной услуги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осуществляет прием заявления, представленных услугополучателем, их регистрацию и осуществляет выдачу копии заявления с отметкой о регистрации у услугодателя с указанием даты и времени приема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Передает заявления руководителю услугодателя для наложения визы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копия заявления услугополучателя с отметкой о регистрации, с указанием даты и времени приема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определяет ответственного исполнителя, налагает соответствующую визу (2 часа).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виза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(8 рабочих дней).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- проект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решение и подписывает проект результата оказания государственной услуги (1 рабочий день).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подписанный результат оказания госдарственной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выдает результат оказания государственной услуги услугополучателю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– выданный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6.  </w:t>
      </w:r>
      <w:r>
        <w:rPr>
          <w:rFonts w:ascii="Times New Roman"/>
          <w:b w:val="false"/>
          <w:i w:val="false"/>
          <w:color w:val="000000"/>
          <w:sz w:val="28"/>
        </w:rPr>
        <w:t>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 </w:t>
      </w:r>
      <w:r>
        <w:rPr>
          <w:rFonts w:ascii="Times New Roman"/>
          <w:b w:val="false"/>
          <w:i w:val="false"/>
          <w:color w:val="000000"/>
          <w:sz w:val="28"/>
        </w:rPr>
        <w:t>Описание последовательности процедур (действий) между структурными подразделениями (работниками), длительность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после осуществления приема пакета документов, их регистрации и выдачи услугополучателю копии заявления о регистрации пакета документов (15 минут) передает пакет документов руководителю услугодателя для наложения визы (15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ознакамливается с пакетом документов и передает с соответствующей визой ответственному исполнителю услугодателя (2 часа);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Ответственный исполнитель услугодателя изучает пакет документов передает проект результата оказания государственной услуги руководителю услугодателя для принятия решения (8 рабочих дней);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руководитель услугодателя принимает соответствующее решение, передает результат оказания государственной услуги сотруднику услугодателя (1 рабочий день);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сотрудник услугодателя выдает результат оказания государственной услуги услугополучателю (15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Блок-схема действий при взаимодействии структурных подразделений (работников) услугодателей при оказании государственной услуги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8. 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в центр обслуживания населения,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работник центра обслуживания населения в течении 15 минут производит регистрацию заявления и иных документов услугополучателя, необходимые для оказания государственной услуги, и направляет услугодателю в форме электронных копий документов посредством информационной системы, удостоверенных электронной цифровой подписью работника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ожидания для сдачи пакета документов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Максимальное допустимое время обслуживания услугополучателя в Центре обслуживания населения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документов, необходимых для оказания государственной услуги указан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Описание действий работников центра обслуживания населения при регистрации и обработке запроса услугополучателя в интегрированной информационной системе центров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 государственной услуги подает необходимые документы и заявление оператору центра обслуживания населения согласно приложению к Стандарту, которое осуществляется в операционном зале посредством "безбарьерного" обслуживания путем электронной очереди;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оператора центра обслуживания населения в автоматизированное рабочее место интегрированной информационной системы центр обслуживания населения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процесс 2 – выбор оператором центра обслуживания населения, вывод на экран формы запроса для оказания услуги и ввод оператором центра обслуживания населения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процесс 3 – направление запроса через шлюз электронного правительства в государственную база данных физических лиц/ государственную базу данных юридических лиц о данных услугополучателя, а также в единую нотариальную информационную систему – о данных доверенности представителя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наличия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 невозможности получения данных в связи с отсутствием данных услугополучателя в государственной базе данных физических лиц/государственной базе данных юридических лиц, данных доверенности в единой нотариальной информационной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 </w:t>
      </w:r>
      <w:r>
        <w:rPr>
          <w:rFonts w:ascii="Times New Roman"/>
          <w:b w:val="false"/>
          <w:i w:val="false"/>
          <w:color w:val="000000"/>
          <w:sz w:val="28"/>
        </w:rPr>
        <w:t>процесс 5 - направление электронного документа (запроса услугополучателя) удостоверенного (подписанного) электронной цифровой подписью оператора центра обслуживания населения через шлюз электронного правительства в автоматизированном рабочем месте регионального шлюза электронного правительства.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 </w:t>
      </w:r>
      <w:r>
        <w:rPr>
          <w:rFonts w:ascii="Times New Roman"/>
          <w:b w:val="false"/>
          <w:i w:val="false"/>
          <w:color w:val="000000"/>
          <w:sz w:val="28"/>
        </w:rPr>
        <w:t>процесс 6 - получение услугополучателем результата оказания государственной услуги (выдача справки или мотивированный отказ), сформированный в автоматизированном рабочем месте интегрированной информационной системы центра обслуживания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центры обслуживания населения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 </w:t>
      </w:r>
      <w:r>
        <w:rPr>
          <w:rFonts w:ascii="Times New Roman"/>
          <w:b w:val="false"/>
          <w:i w:val="false"/>
          <w:color w:val="000000"/>
          <w:sz w:val="28"/>
        </w:rPr>
        <w:t>Описание процесса получения результата оказания государственной услуги через Центр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Центре обслуживания населения выдача готового результата государственной услуги осуществляется его работником на основании расписки, при предъявлении документа, удостоверяющего личность и (или) документа, удостоверяющего полномочия доверенного лица (для идентификации личности услугополучателя или доверенного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 </w:t>
      </w:r>
      <w:r>
        <w:rPr>
          <w:rFonts w:ascii="Times New Roman"/>
          <w:b w:val="false"/>
          <w:i w:val="false"/>
          <w:color w:val="000000"/>
          <w:sz w:val="28"/>
        </w:rPr>
        <w:t>Описание порядка обращения при оказании государственной услуги через веб-портал "электронного правительства" и последовательности процедур (действий) услугодателя 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услугополучатель осуществляет регистрацию на Портале с помощью индивидуального идентификационного номера и бизнес–идентификационного номера, а также пароля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 </w:t>
      </w:r>
      <w:r>
        <w:rPr>
          <w:rFonts w:ascii="Times New Roman"/>
          <w:b w:val="false"/>
          <w:i w:val="false"/>
          <w:color w:val="000000"/>
          <w:sz w:val="28"/>
        </w:rPr>
        <w:t>процесс 1 – ввод услугополучателем индивидуального идентификационного номера/бизнес–идентификационного номера и пароля (процесс авторизации) на портале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 </w:t>
      </w:r>
      <w:r>
        <w:rPr>
          <w:rFonts w:ascii="Times New Roman"/>
          <w:b w:val="false"/>
          <w:i w:val="false"/>
          <w:color w:val="000000"/>
          <w:sz w:val="28"/>
        </w:rPr>
        <w:t>условие 1 – проверка на портале подлинности данных о зарегистрированном услугополучателе через индивидуального идентификационного номера/бизнес–идентификационного номера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 </w:t>
      </w:r>
      <w:r>
        <w:rPr>
          <w:rFonts w:ascii="Times New Roman"/>
          <w:b w:val="false"/>
          <w:i w:val="false"/>
          <w:color w:val="000000"/>
          <w:sz w:val="28"/>
        </w:rPr>
        <w:t>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 </w:t>
      </w:r>
      <w:r>
        <w:rPr>
          <w:rFonts w:ascii="Times New Roman"/>
          <w:b w:val="false"/>
          <w:i w:val="false"/>
          <w:color w:val="000000"/>
          <w:sz w:val="28"/>
        </w:rPr>
        <w:t>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пункте 9 Стандарта, а также выбор услугополучателем регистрационного свидетельства электронной цифровой подписью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 </w:t>
      </w:r>
      <w:r>
        <w:rPr>
          <w:rFonts w:ascii="Times New Roman"/>
          <w:b w:val="false"/>
          <w:i w:val="false"/>
          <w:color w:val="000000"/>
          <w:sz w:val="28"/>
        </w:rPr>
        <w:t>условие 2 – проверка на портале срока действия регистрационного свидетельства электронной цифровой подписью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номером/бизнес–идентификационным номером указанным в запросе и индивидуальным идентификационным номером/бизнес–идентификационным номером указанным в регистрационном свидетельстве электронной цифровой подписью);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 </w:t>
      </w:r>
      <w:r>
        <w:rPr>
          <w:rFonts w:ascii="Times New Roman"/>
          <w:b w:val="false"/>
          <w:i w:val="false"/>
          <w:color w:val="000000"/>
          <w:sz w:val="28"/>
        </w:rPr>
        <w:t>процесс 4 – формирование сообщения об отказе в запрашиваемой услуге в связи с неподтверждением подлинности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 </w:t>
      </w:r>
      <w:r>
        <w:rPr>
          <w:rFonts w:ascii="Times New Roman"/>
          <w:b w:val="false"/>
          <w:i w:val="false"/>
          <w:color w:val="000000"/>
          <w:sz w:val="28"/>
        </w:rPr>
        <w:t>процесс 5 – направление электронного документа (запроса услугополучателя) удостоверенного (подписанного) электронной цифровой подписью услугополучателя через шлюз электронного правительства в автоматизированном рабочем месте регионального шлюза электронного правительства для обработки запроса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 </w:t>
      </w:r>
      <w:r>
        <w:rPr>
          <w:rFonts w:ascii="Times New Roman"/>
          <w:b w:val="false"/>
          <w:i w:val="false"/>
          <w:color w:val="000000"/>
          <w:sz w:val="28"/>
        </w:rPr>
        <w:t>условие 3 – проверка услугодателем соответствия приложенных услугополучателем документов, указанных в Стандарте и основании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 </w:t>
      </w:r>
      <w:r>
        <w:rPr>
          <w:rFonts w:ascii="Times New Roman"/>
          <w:b w:val="false"/>
          <w:i w:val="false"/>
          <w:color w:val="000000"/>
          <w:sz w:val="28"/>
        </w:rPr>
        <w:t>процесс 6 - формирование сообщения об отказе в запрашиваемой услуге в связи с имеющимися нарушениями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 </w:t>
      </w:r>
      <w:r>
        <w:rPr>
          <w:rFonts w:ascii="Times New Roman"/>
          <w:b w:val="false"/>
          <w:i w:val="false"/>
          <w:color w:val="000000"/>
          <w:sz w:val="28"/>
        </w:rPr>
        <w:t>процесс 7 – получение услугополучателем результата услуги (уведомление в форме электронного документа) сформированный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11.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Справочник бизнес-процессов оказания государственной услуги размещается на веб-портале "электронного правительства", интернет –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иностранных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печатных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распространяемых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</w:t>
            </w:r>
          </w:p>
        </w:tc>
      </w:tr>
    </w:tbl>
    <w:bookmarkStart w:name="z8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действий при взаимодействии структурных подразделений (работников) услугодателей при оказании государственной услуги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797800" cy="811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7800" cy="811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</w:t>
            </w:r>
          </w:p>
        </w:tc>
      </w:tr>
    </w:tbl>
    <w:bookmarkStart w:name="z9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Центр обслуживания населения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drawing>
                <wp:inline distT="0" distB="0" distL="0" distR="0">
                  <wp:extent cx="7188200" cy="5651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0" cy="565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иностранных периодических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печатных изданий,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распространяемых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8"/>
    <w:bookmarkStart w:name="z98" w:id="9"/>
    <w:p>
      <w:pPr>
        <w:spacing w:after="0"/>
        <w:ind w:left="0"/>
        <w:jc w:val="left"/>
      </w:pP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442200" cy="638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38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Приложение 4 к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"Учет иностранных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периодических печатных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изданий, распространяемых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территории Жамбылской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 "Учет иностранных периодических печатных изданий, распространяемых на территории Жамбылской области"</w:t>
      </w:r>
    </w:p>
    <w:bookmarkEnd w:id="10"/>
    <w:bookmarkStart w:name="z99" w:id="11"/>
    <w:p>
      <w:pPr>
        <w:spacing w:after="0"/>
        <w:ind w:left="0"/>
        <w:jc w:val="left"/>
      </w:pP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01" w:id="12"/>
    <w:p>
      <w:pPr>
        <w:spacing w:after="0"/>
        <w:ind w:left="0"/>
        <w:jc w:val="left"/>
      </w:pP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3"/>
    <w:bookmarkStart w:name="z127" w:id="14"/>
    <w:p>
      <w:pPr>
        <w:spacing w:after="0"/>
        <w:ind w:left="0"/>
        <w:jc w:val="left"/>
      </w:pP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5438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