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c2181" w14:textId="8dc21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объемов субсидий по районам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22 сентября 2014 года № 251. Зарегистрировано Департаментом юстиции Жамбылской области 31 октября 2014 года № 2357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c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«О государственном регулировании развития агропромышленного комплекса и сельских территорий», ,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 объемы субсидий (в зависимости от прогнозной структуры посевных площадей приоритетных культур) на 2014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>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>для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в защищенном грунте;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>стоимости затрат на закладку и выращивание (в том числе восстановление) многолетних насаждений плодово-ягодных культур и винограда;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3) </w:t>
      </w:r>
      <w:r>
        <w:rPr>
          <w:rFonts w:ascii="Times New Roman"/>
          <w:b w:val="false"/>
          <w:i w:val="false"/>
          <w:color w:val="000000"/>
          <w:sz w:val="28"/>
        </w:rPr>
        <w:t>стоимости удобрений (за исключением органических);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4) </w:t>
      </w:r>
      <w:r>
        <w:rPr>
          <w:rFonts w:ascii="Times New Roman"/>
          <w:b w:val="false"/>
          <w:i w:val="false"/>
          <w:color w:val="000000"/>
          <w:sz w:val="28"/>
        </w:rPr>
        <w:t>стоимости гербицидов, предназначенных для обработки сельскохозяйственных культур в целях защиты растений.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Коммунальному государственному учреждению «Управление сельского хозяйства акимата Жамбылской области»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государственную регистрацию настоящего постановления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«Әділет»;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постановления возложить на заместителя акима области Жолдасбаева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сентября 2014 года № 251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районам на 2014 год для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в защищенном грунте (в зависимости от прогнозной структуры посевных площадей приоритетных культур)</w:t>
      </w:r>
    </w:p>
    <w:bookmarkEnd w:id="0"/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drawing>
          <wp:inline distT="0" distB="0" distL="0" distR="0">
            <wp:extent cx="78105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drawing>
          <wp:inline distT="0" distB="0" distL="0" distR="0">
            <wp:extent cx="7810500" cy="300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drawing>
          <wp:inline distT="0" distB="0" distL="0" distR="0">
            <wp:extent cx="7518400" cy="619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18400" cy="61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сентября 2014 года № 251</w:t>
            </w:r>
          </w:p>
        </w:tc>
      </w:tr>
    </w:tbl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субсидии 2014 года для возмещения стоимости затрат на закладку и выращивание (в том числе восстановление) многолетних насаждений плодово-ягодных культур и винограда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drawing>
          <wp:inline distT="0" distB="0" distL="0" distR="0">
            <wp:extent cx="78105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сентября 2014 года № 251</w:t>
            </w:r>
          </w:p>
        </w:tc>
      </w:tr>
    </w:tbl>
    <w:bookmarkStart w:name="z2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субсидирования стоимости удобрений</w:t>
      </w:r>
      <w:r>
        <w:br/>
      </w:r>
      <w:r>
        <w:rPr>
          <w:rFonts w:ascii="Times New Roman"/>
          <w:b/>
          <w:i w:val="false"/>
          <w:color w:val="000000"/>
        </w:rPr>
        <w:t>(за исключением органических) на 2014 год</w:t>
      </w:r>
    </w:p>
    <w:bookmarkEnd w:id="3"/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drawing>
          <wp:inline distT="0" distB="0" distL="0" distR="0">
            <wp:extent cx="7810500" cy="269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drawing>
          <wp:inline distT="0" distB="0" distL="0" distR="0">
            <wp:extent cx="7810500" cy="273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сентября 2014 года № 251</w:t>
            </w:r>
          </w:p>
        </w:tc>
      </w:tr>
    </w:tbl>
    <w:bookmarkStart w:name="z3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субсидирования стоимости гербицидов на 2014 год, предназначенных для обработки сельскохозяйственных культур в целях защиты растений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drawing>
          <wp:inline distT="0" distB="0" distL="0" distR="0">
            <wp:extent cx="7810500" cy="285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