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3363" w14:textId="7c53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24 декабря 2014 года № 36-4. Зарегистрировано Департаментом юстиции Жамбылской области 29 декабря 2014 года № 2450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7 568 408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1 337 941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4 058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78 001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6 148 408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7 592 118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43 852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53 514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9 662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бюджета (профицит) – - 67 562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(использование профицита) – 67 562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Меркенского районного маслихата Жамбылской области от 07.04.2015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04.06.2015 </w:t>
      </w:r>
      <w:r>
        <w:rPr>
          <w:rFonts w:ascii="Times New Roman"/>
          <w:b w:val="false"/>
          <w:i w:val="false"/>
          <w:color w:val="ff0000"/>
          <w:sz w:val="28"/>
        </w:rPr>
        <w:t>№ 40-2</w:t>
      </w:r>
      <w:r>
        <w:rPr>
          <w:rFonts w:ascii="Times New Roman"/>
          <w:b w:val="false"/>
          <w:i w:val="false"/>
          <w:color w:val="ff0000"/>
          <w:sz w:val="28"/>
        </w:rPr>
        <w:t xml:space="preserve">; 03.09.2015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; 25.11.2015 </w:t>
      </w:r>
      <w:r>
        <w:rPr>
          <w:rFonts w:ascii="Times New Roman"/>
          <w:b w:val="false"/>
          <w:i w:val="false"/>
          <w:color w:val="ff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; 10.12.2015 </w:t>
      </w:r>
      <w:r>
        <w:rPr>
          <w:rFonts w:ascii="Times New Roman"/>
          <w:b w:val="false"/>
          <w:i w:val="false"/>
          <w:color w:val="ff0000"/>
          <w:sz w:val="28"/>
        </w:rPr>
        <w:t>№ 45-2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Предусмотреть объем субвенции на 2015 год, передаваемой из областного бюджета в сумме 3 909 799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от 8 июля 2005 года на 2015-2017 годы предусмотреть средства на выплату надбавки к заработной плате специалистам здравоохранения, социального обеспечения, образования, культуры, спорта и ветеринарии, финансируемых из районного бюджета, работающим в сельских населенных пунктах в размере 25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Утвердить резерв местного исполнительного органа района в сумме 4 000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бюджетные программы не подлежащие секвестрированию в процессе исполнения районного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бюджетных программ сельских округов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решение вступает в силу со дня государственной регистрации в органах юстиции и вводится в действие с 1 января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36-4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Меркенского районного маслихата Жамбылской области от 10.12.2015 </w:t>
      </w:r>
      <w:r>
        <w:rPr>
          <w:rFonts w:ascii="Times New Roman"/>
          <w:b w:val="false"/>
          <w:i w:val="false"/>
          <w:color w:val="ff0000"/>
          <w:sz w:val="28"/>
        </w:rPr>
        <w:t>№ 45-2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849"/>
        <w:gridCol w:w="496"/>
        <w:gridCol w:w="318"/>
        <w:gridCol w:w="7196"/>
        <w:gridCol w:w="27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1936"/>
        <w:gridCol w:w="6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953"/>
        <w:gridCol w:w="1953"/>
        <w:gridCol w:w="3300"/>
        <w:gridCol w:w="37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36-4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</w:t>
            </w:r>
          </w:p>
        </w:tc>
      </w:tr>
    </w:tbl>
    <w:bookmarkStart w:name="z24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885"/>
        <w:gridCol w:w="517"/>
        <w:gridCol w:w="7498"/>
        <w:gridCol w:w="28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1936"/>
        <w:gridCol w:w="6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953"/>
        <w:gridCol w:w="1953"/>
        <w:gridCol w:w="3300"/>
        <w:gridCol w:w="37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36-4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</w:t>
            </w:r>
          </w:p>
        </w:tc>
      </w:tr>
    </w:tbl>
    <w:bookmarkStart w:name="z4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885"/>
        <w:gridCol w:w="517"/>
        <w:gridCol w:w="7498"/>
        <w:gridCol w:w="28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1936"/>
        <w:gridCol w:w="6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953"/>
        <w:gridCol w:w="1953"/>
        <w:gridCol w:w="3300"/>
        <w:gridCol w:w="37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36-4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bookmarkStart w:name="z6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не подлежащие секвестированию в процессе исполнения районного бюджета на 2015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4208"/>
        <w:gridCol w:w="1112"/>
        <w:gridCol w:w="52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 36-4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bookmarkStart w:name="z6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2015 год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Меркенского районного маслихата Жамбылской области от 10.12.2015 </w:t>
      </w:r>
      <w:r>
        <w:rPr>
          <w:rFonts w:ascii="Times New Roman"/>
          <w:b w:val="false"/>
          <w:i w:val="false"/>
          <w:color w:val="ff0000"/>
          <w:sz w:val="28"/>
        </w:rPr>
        <w:t>№ 45-2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1866"/>
        <w:gridCol w:w="1360"/>
        <w:gridCol w:w="852"/>
        <w:gridCol w:w="853"/>
        <w:gridCol w:w="853"/>
        <w:gridCol w:w="925"/>
        <w:gridCol w:w="998"/>
        <w:gridCol w:w="1668"/>
        <w:gridCol w:w="853"/>
        <w:gridCol w:w="983"/>
      </w:tblGrid>
      <w:tr>
        <w:trPr>
          <w:trHeight w:val="30" w:hRule="atLeast"/>
        </w:trPr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 Услуги по обеспечению деятельностиакима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005. 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 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010. 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 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акимаАктоганского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акимаЖамбылского сельского округа Меркенского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акимаМеркенского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акимаСарымолдаевского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акимаОйталского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Т. Рыскуловского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акимаТатинского сельского округа Меркенского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акимаАкаральского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Суратского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акимаЖанатоганского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акимаАндасбатырского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акимаКенесского сельского округа Меркенского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акимаАспаринского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акимаАкерменского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