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14eb" w14:textId="6ea1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августа 2014 года № 43/02. Зарегистрировано Департаментом юстиции Карагандинской области 18 сентября 2014 года № 2745. Утратило силу постановлением акимата Карагандинской области от 9 сентября 2015 года № 52/04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09.09.2015 № 52/04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 объектах туризма и лицах, осуществляющих туристскую деятельность"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 исполнительным органом области (далее – услугодатель), расположенного по адресу: 100008, город Караганда, улица Алиханова 13, телефон: 8 (7212) 42-57-59, 42-06-89. Прием заявления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входящий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к услугодателю с письменным заявлениемпо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заявления с указанием номера, даты и количества листов в регистрационном журнале, выдает талон услугополучателю с указанием номера, даты регистрации, фамилии и инициалов сотрудника, принявшего заявление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сотрудник канцелярии услугодателя передает заявление на рассмотрение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рассмотрев заявление услугополучателя, передает поручение ответственному исполнителю для дальнейшего исполнения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и проверяет полноту и правильность оформления заявления, оформляет результат оказания государственной услуги, затем через сотрудника канцелярии направляет на подписание руководителю услугодателя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талона с указанием даты принятия, фамилии и инициалы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заявления руководителю услогодателя;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виза руководителя услогодателя и направление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проекта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результата оказания государственной услуги и направление его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после осуществления приема заявления и выдачи услугополучателю талона о регистрации с указанием даты принятия, фамилии и инициалы лица, принявшего заявление (20 минут) передает пакет документов руководителю услугодателя для наложения визы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услогодателя налагает соответствующую визу и направляет материалы ответственному специалисту услугодателя, в должностные обязанности которого входит организация работы по оказанию настоящей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услугодателя, ознакомившись с заявлением, подготавливает проект результата оказания государственной услуги и через сотрудника канцелярии направляет проект результата оказания государственной услуги на подпись руководителю услугодателя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направляет результат оказания государственной услуги сотруднику канцелярии услугодателя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(действия)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неавтоматизированная и не оказывается, через центры обслуживания населения.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деятельность"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прохождения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 (процедуры) с указанием длительности каждой процедуры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864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деятельность"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51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5344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