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7606" w14:textId="62e76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Приозерского городского маслихата от 10 апреля 2012 года № 5/38 "Об утверждении Правил о размере и порядке оказания жилищной помощи населению города Приозерск"</w:t>
      </w:r>
    </w:p>
    <w:p>
      <w:pPr>
        <w:spacing w:after="0"/>
        <w:ind w:left="0"/>
        <w:jc w:val="both"/>
      </w:pPr>
      <w:r>
        <w:rPr>
          <w:rFonts w:ascii="Times New Roman"/>
          <w:b w:val="false"/>
          <w:i w:val="false"/>
          <w:color w:val="000000"/>
          <w:sz w:val="28"/>
        </w:rPr>
        <w:t>Решение XXXVII сессии Приозерского городского маслихата Карагандинской области от 23 сентября 2014 года № 37/262. Зарегистрировано Департаментом юстиции Карагандинской области 20 октября 2014 года № 2802</w:t>
      </w:r>
    </w:p>
    <w:p>
      <w:pPr>
        <w:spacing w:after="0"/>
        <w:ind w:left="0"/>
        <w:jc w:val="both"/>
      </w:pPr>
      <w:bookmarkStart w:name="z2" w:id="0"/>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городской маслихат </w:t>
      </w:r>
      <w:r>
        <w:rPr>
          <w:rFonts w:ascii="Times New Roman"/>
          <w:b/>
          <w:i w:val="false"/>
          <w:color w:val="000000"/>
          <w:sz w:val="28"/>
        </w:rPr>
        <w:t>РЕШИЛ:</w:t>
      </w:r>
      <w:r>
        <w:br/>
      </w:r>
      <w:r>
        <w:rPr>
          <w:rFonts w:ascii="Times New Roman"/>
          <w:b w:val="false"/>
          <w:i w:val="false"/>
          <w:color w:val="000000"/>
          <w:sz w:val="28"/>
        </w:rPr>
        <w:t>
      1. 
</w:t>
      </w:r>
      <w:r>
        <w:rPr>
          <w:rFonts w:ascii="Times New Roman"/>
          <w:b w:val="false"/>
          <w:i w:val="false"/>
          <w:color w:val="000000"/>
          <w:sz w:val="28"/>
        </w:rPr>
        <w:t>
Внести в </w:t>
      </w:r>
      <w:r>
        <w:rPr>
          <w:rFonts w:ascii="Times New Roman"/>
          <w:b w:val="false"/>
          <w:i w:val="false"/>
          <w:color w:val="000000"/>
          <w:sz w:val="28"/>
        </w:rPr>
        <w:t>решение</w:t>
      </w:r>
      <w:r>
        <w:rPr>
          <w:rFonts w:ascii="Times New Roman"/>
          <w:b w:val="false"/>
          <w:i w:val="false"/>
          <w:color w:val="000000"/>
          <w:sz w:val="28"/>
        </w:rPr>
        <w:t xml:space="preserve"> Приозерского городского маслихата от 10 апреля 2012 года № 5/38 «Об утверждении Правил о размере и порядке оказания жилищной помощи населению города Приозерск» (зарегистрировано в Реестре государственной регистрации нормативных правовых актов за № 8-4-278, опубликовано в газете «Приозерский вестник» № 18 (251) от 11 мая 2012 года), следующие изменения:</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18</w:t>
      </w:r>
      <w:r>
        <w:rPr>
          <w:rFonts w:ascii="Times New Roman"/>
          <w:b w:val="false"/>
          <w:i w:val="false"/>
          <w:color w:val="000000"/>
          <w:sz w:val="28"/>
        </w:rPr>
        <w:t xml:space="preserve"> Правил изложить в следующей редакции:</w:t>
      </w:r>
      <w:r>
        <w:br/>
      </w:r>
      <w:r>
        <w:rPr>
          <w:rFonts w:ascii="Times New Roman"/>
          <w:b w:val="false"/>
          <w:i w:val="false"/>
          <w:color w:val="000000"/>
          <w:sz w:val="28"/>
        </w:rPr>
        <w:t>
      «18. Для назначения жилищной помощи заявитель представляет документы, указанные в </w:t>
      </w:r>
      <w:r>
        <w:rPr>
          <w:rFonts w:ascii="Times New Roman"/>
          <w:b w:val="false"/>
          <w:i w:val="false"/>
          <w:color w:val="000000"/>
          <w:sz w:val="28"/>
        </w:rPr>
        <w:t>пункте 4</w:t>
      </w:r>
      <w:r>
        <w:rPr>
          <w:rFonts w:ascii="Times New Roman"/>
          <w:b w:val="false"/>
          <w:i w:val="false"/>
          <w:color w:val="000000"/>
          <w:sz w:val="28"/>
        </w:rPr>
        <w:t xml:space="preserve"> Правил предоставления жилищной помощи, утвержденных постановлением Правительства Республики Казахстан от 30 декабря 2009 года № 2314 «Об утверждении Правил предоставления жилищной помощи».»;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25</w:t>
      </w:r>
      <w:r>
        <w:rPr>
          <w:rFonts w:ascii="Times New Roman"/>
          <w:b w:val="false"/>
          <w:i w:val="false"/>
          <w:color w:val="000000"/>
          <w:sz w:val="28"/>
        </w:rPr>
        <w:t xml:space="preserve"> Правил изложить в новой редакции:</w:t>
      </w:r>
      <w:r>
        <w:br/>
      </w:r>
      <w:r>
        <w:rPr>
          <w:rFonts w:ascii="Times New Roman"/>
          <w:b w:val="false"/>
          <w:i w:val="false"/>
          <w:color w:val="000000"/>
          <w:sz w:val="28"/>
        </w:rPr>
        <w:t>
      «25. Жилищная помощь предоставляется в безналичной и наличной форме. Безналичная форма – это перечисление денежных средств на расчетные счета поставщиков услуг, а также на счета (текущий, накопительный) органа управления объектом кондоминиума.</w:t>
      </w:r>
      <w:r>
        <w:br/>
      </w:r>
      <w:r>
        <w:rPr>
          <w:rFonts w:ascii="Times New Roman"/>
          <w:b w:val="false"/>
          <w:i w:val="false"/>
          <w:color w:val="000000"/>
          <w:sz w:val="28"/>
        </w:rPr>
        <w:t>
      В случае невозможности перечисления суммы жилищной помощи на расчетный счет поставщика коммунальных услуг (ликвидация предприятия, реорганизация, изменение банковских реквизитов, оплата приобретения твердого топлива, услуг связи в части увеличения абонентской платы за телефон, подключенный к сети телекоммуникаций) она распределяется между другими поставщиками, услугами которых пользуется заявитель или выплачивается наличным путем. Наличная форма устанавливается в виде денежных выплат, которая осуществляется через банки второго уровня или организации, имеющими лицензии Национального Банка Республики Казахстан на осуществление данного вида операций, путем зачисления на лицевые счета граждан. Для зачисления на лицевые счета заявитель предоставляет лицевой счет, открытый в банке второго уровня или организации, имеющей лицензию Национального Банка Республики Казахстан.».</w:t>
      </w:r>
      <w:r>
        <w:br/>
      </w:r>
      <w:r>
        <w:rPr>
          <w:rFonts w:ascii="Times New Roman"/>
          <w:b w:val="false"/>
          <w:i w:val="false"/>
          <w:color w:val="000000"/>
          <w:sz w:val="28"/>
        </w:rPr>
        <w:t>
      2. 
</w:t>
      </w:r>
      <w:r>
        <w:rPr>
          <w:rFonts w:ascii="Times New Roman"/>
          <w:b w:val="false"/>
          <w:i w:val="false"/>
          <w:color w:val="000000"/>
          <w:sz w:val="28"/>
        </w:rPr>
        <w:t xml:space="preserve">
Контроль за исполнением настоящего решения возложить на постоянную комиссию городского маслихата по социально-культурному развитию и социальной защите населения. </w:t>
      </w:r>
      <w:r>
        <w:br/>
      </w:r>
      <w:r>
        <w:rPr>
          <w:rFonts w:ascii="Times New Roman"/>
          <w:b w:val="false"/>
          <w:i w:val="false"/>
          <w:color w:val="000000"/>
          <w:sz w:val="28"/>
        </w:rPr>
        <w:t>
      3. 
</w:t>
      </w:r>
      <w:r>
        <w:rPr>
          <w:rFonts w:ascii="Times New Roman"/>
          <w:b w:val="false"/>
          <w:i w:val="false"/>
          <w:color w:val="000000"/>
          <w:sz w:val="28"/>
        </w:rPr>
        <w:t>
Настоящее решение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Председатель сессии</w:t>
            </w:r>
            <w:r>
              <w:br/>
            </w:r>
            <w:r>
              <w:rPr>
                <w:rFonts w:ascii="Times New Roman"/>
                <w:b w:val="false"/>
                <w:i w:val="false"/>
                <w:color w:val="000000"/>
                <w:sz w:val="20"/>
              </w:rPr>
              <w:t>
</w:t>
            </w:r>
            <w:r>
              <w:rPr>
                <w:rFonts w:ascii="Times New Roman"/>
                <w:b w:val="false"/>
                <w:i/>
                <w:color w:val="000000"/>
                <w:sz w:val="20"/>
              </w:rPr>
              <w:t>      Секретарь городского маслихата</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Поченко</w:t>
            </w:r>
            <w:r>
              <w:br/>
            </w:r>
            <w:r>
              <w:rPr>
                <w:rFonts w:ascii="Times New Roman"/>
                <w:b w:val="false"/>
                <w:i w:val="false"/>
                <w:color w:val="000000"/>
                <w:sz w:val="20"/>
              </w:rPr>
              <w:t>
</w:t>
            </w:r>
            <w:r>
              <w:rPr>
                <w:rFonts w:ascii="Times New Roman"/>
                <w:b w:val="false"/>
                <w:i/>
                <w:color w:val="000000"/>
                <w:sz w:val="20"/>
              </w:rPr>
              <w:t>Б. Сарсембеков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