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a8fe" w14:textId="ba0a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города Кызылорды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24 октября 2014 года N 745 и Решение Кызылординского областного маслихата от 24 октября 2014 года N 223. Зарегистрировано Департаментом юстиции Кызылординской области 19 ноября 2014 года N 4801.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заключением Республиканской ономастической комиссии при Правительстве Республики Казахстан от 4 сентября 2014 года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Кызылординской области от 19.02.2025 № 37 и решение Кызылординского областного маслихата от 19.02.2025 № 149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следующие улицы города Кызылорды: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Береке именем Мергали Ибраева;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Жалагаш именем Оралхана Камардинова;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Проектная именем Алексея Донского;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Саулет-9 именем Абайдильды Даулетбаева;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Саулет-27 именем Шадибая Абдуллаева;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"Саяхат-2" именем Анеса Утегенова;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"Саяхат-4" именем Абылая Айдосова.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имя Узака Оралбая первой улице, расположенной параллельно с правой стороны улицы Оралбека Абдимомынова в микрорайоне "Арай" города Кызылорда.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Исключено постановлением акимата Кызылординской области от 10.12.2015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Кызылординского областного маслихата от 10.12.2015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и решение 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вводятся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сессии Кызылординского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Кызылординского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