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8dcb" w14:textId="1e48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11 апреля 2014 года № 27/6. Зарегистрировано Департаментом юстиции Кызылординской области 24 апреля 2014 года № 4643. Утратило силу решением Шиелийского районного маслихата Кызылординской области от 04 мая 2016 года № 40/6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Шиелийского районного маслихата Кызылординской области от 04.05.2016 </w:t>
      </w:r>
      <w:r>
        <w:rPr>
          <w:rFonts w:ascii="Times New Roman"/>
          <w:b w:val="false"/>
          <w:i w:val="false"/>
          <w:color w:val="ff0000"/>
          <w:sz w:val="28"/>
        </w:rPr>
        <w:t>№ 40/6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N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N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N 365-1</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Шиелийского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Шиелийского районного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Абдыкадырова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Шиелийского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Оразбекулы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отдела занятости и социальных</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программ по Шиелийскому району</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И. Байкенжеев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"11" апреля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"11" апреля 2014 года N 27/6</w:t>
            </w:r>
          </w:p>
        </w:tc>
      </w:tr>
    </w:tbl>
    <w:bookmarkStart w:name="z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Шиелийского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Основные термины и понятия, которые используются в настоящих Правилах:</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Шиелийского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государственное учреждение "Шиелийский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Перечень категорий получателей социальной помощи:</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12-1) дети заболевшие болезнью гемотологическими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13)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(семьи)являются:</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6 с изменениями, внесенными решением Шиелийского районного маслихата Кызылординской области от 02.03.2015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 единовременная помощь – 150000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 с изменениями, внесенными решением Шиелийского районного маслихата Кызылординской области от 02.03.2015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12-1. Детям, состоящим на диспансерном учете с гематологическими заболеваниями, включая гемобластозы и апластическую анемию предоставляетсяежемесячная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12-1 в соответствии с решением Шиелийского районного маслихата Кызылординской области от 02.03.2015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программы после вузовского образования, направленная на подготовку научных и педагогических кадров с присуждением академической степени "Магистр" в учебных заведениях,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w:t>
      </w:r>
      <w:r>
        <w:br/>
      </w:r>
      <w:r>
        <w:rPr>
          <w:rFonts w:ascii="Times New Roman"/>
          <w:b w:val="false"/>
          <w:i w:val="false"/>
          <w:color w:val="000000"/>
          <w:sz w:val="28"/>
        </w:rPr>
        <w:t>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установления </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7"/>
    <w:p>
      <w:pPr>
        <w:spacing w:after="0"/>
        <w:ind w:left="0"/>
        <w:jc w:val="left"/>
      </w:pPr>
      <w:r>
        <w:rPr>
          <w:rFonts w:ascii="Times New Roman"/>
          <w:b/>
          <w:i w:val="false"/>
          <w:color w:val="000000"/>
        </w:rPr>
        <w:t xml:space="preserve">  Регистрационный номер семьи _______________________</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4150"/>
        <w:gridCol w:w="2717"/>
        <w:gridCol w:w="1284"/>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установления </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57" w:id="8"/>
    <w:p>
      <w:pPr>
        <w:spacing w:after="0"/>
        <w:ind w:left="0"/>
        <w:jc w:val="left"/>
      </w:pPr>
      <w:r>
        <w:rPr>
          <w:rFonts w:ascii="Times New Roman"/>
          <w:b/>
          <w:i w:val="false"/>
          <w:color w:val="000000"/>
        </w:rPr>
        <w:t xml:space="preserve">  АКТ</w:t>
      </w:r>
    </w:p>
    <w:bookmarkEnd w:id="8"/>
    <w:bookmarkStart w:name="z158" w:id="9"/>
    <w:p>
      <w:pPr>
        <w:spacing w:after="0"/>
        <w:ind w:left="0"/>
        <w:jc w:val="left"/>
      </w:pPr>
      <w:r>
        <w:rPr>
          <w:rFonts w:ascii="Times New Roman"/>
          <w:b/>
          <w:i w:val="false"/>
          <w:color w:val="000000"/>
        </w:rPr>
        <w:t xml:space="preserve">  обследования для определения нуждаемости лица (семьи) в связи с наступлением трудной жизненной ситуации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w:t>
      </w:r>
      <w:r>
        <w:br/>
      </w: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19"/>
        <w:gridCol w:w="529"/>
        <w:gridCol w:w="529"/>
        <w:gridCol w:w="1904"/>
        <w:gridCol w:w="529"/>
        <w:gridCol w:w="5155"/>
        <w:gridCol w:w="825"/>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xml:space="preserve">
к </w:t>
            </w:r>
            <w:r>
              <w:br/>
            </w:r>
            <w:r>
              <w:rPr>
                <w:rFonts w:ascii="Times New Roman"/>
                <w:b w:val="false"/>
                <w:i w:val="false"/>
                <w:color w:val="000000"/>
                <w:sz w:val="20"/>
              </w:rPr>
              <w:t xml:space="preserve">
заяви </w:t>
            </w:r>
            <w:r>
              <w:br/>
            </w:r>
            <w:r>
              <w:rPr>
                <w:rFonts w:ascii="Times New Roman"/>
                <w:b w:val="false"/>
                <w:i w:val="false"/>
                <w:color w:val="000000"/>
                <w:sz w:val="20"/>
              </w:rPr>
              <w:t>
телю</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w:t>
            </w:r>
            <w:r>
              <w:br/>
            </w:r>
            <w:r>
              <w:rPr>
                <w:rFonts w:ascii="Times New Roman"/>
                <w:b w:val="false"/>
                <w:i w:val="false"/>
                <w:color w:val="000000"/>
                <w:sz w:val="20"/>
              </w:rPr>
              <w:t xml:space="preserve">
(место работы, учебы)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участии в общественных работах,профессиональной подготовке(переподготовке,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746"/>
        <w:gridCol w:w="804"/>
        <w:gridCol w:w="804"/>
        <w:gridCol w:w="1701"/>
        <w:gridCol w:w="3646"/>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 устанавливающий документ, заявленные доходы от его эксплуатации)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 </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 (заполняется в случае отказа заявителя от проведения обследования)</w:t>
      </w:r>
      <w:r>
        <w:br/>
      </w:r>
      <w:r>
        <w:rPr>
          <w:rFonts w:ascii="Times New Roman"/>
          <w:b w:val="false"/>
          <w:i w:val="false"/>
          <w:color w:val="000000"/>
          <w:sz w:val="28"/>
        </w:rPr>
        <w:t>
      </w:t>
      </w:r>
      <w:r>
        <w:rPr>
          <w:rFonts w:ascii="Times New Roman"/>
          <w:b w:val="false"/>
          <w:i w:val="false"/>
          <w:color w:val="000000"/>
          <w:sz w:val="28"/>
        </w:rPr>
        <w:t xml:space="preserve">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установления </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0"/>
    <w:p>
      <w:pPr>
        <w:spacing w:after="0"/>
        <w:ind w:left="0"/>
        <w:jc w:val="left"/>
      </w:pPr>
      <w:r>
        <w:rPr>
          <w:rFonts w:ascii="Times New Roman"/>
          <w:b/>
          <w:i w:val="false"/>
          <w:color w:val="000000"/>
        </w:rPr>
        <w:t xml:space="preserve">  Заключение участковой комиссии N __ </w:t>
      </w:r>
    </w:p>
    <w:bookmarkEnd w:id="10"/>
    <w:bookmarkStart w:name="z220" w:id="11"/>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 xml:space="preserve">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(подписи) (Ф.И.О.)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