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651e" w14:textId="3b76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 акимата Мангистауской области от 22 июля 2014 года № 180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ноября 2014 года № 285. Зарегистрировано Департаментом юстиции Мангистауской области 22 декабря 2014 года № 2558. Утратило силу - постановлением акимата Мангистауской области от 28 сентября 2015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28.09.2015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приказом Министра экономики и бюджетного планирования Республики Казахстан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 (зарегистрировано в Реестре государственной регистрации нормативных правовых актов за № 9432)акимат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22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 (зарегистрировано в Реестре государственной регистрации нормативных правовых актов за № 2488, опубликовано 2 сентября 2014 года в информационно – правовой системе «Әділет»)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«Описание последовательности процедур (действий)»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туризма Мангистауской области» (Байжаунова Г.М.)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туризма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Байжаунова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ноября 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2014 года № 285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 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86233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2014 года № 285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1793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138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