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7bf8" w14:textId="4307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села Умирзак города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от 24 ноября 2014 года № 25/238. Зарегестрировано Департаментом юстиции Мангистауской области от 30 декабря 2014 года № 2571. Утратило силу решением Актауского городского маслихата Мангистауской области от 23 декабря 2020 года № 38/425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Актауского городского маслихата Мангистауской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38/425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 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Актауский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Умирзак города Актау.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Актауского городского маслихата (Д.Телегенова) после государственной регистрации в департаменте юстиции Мангистауской области обеспечить официальное опубликование настоящего решения в информационно-правовой системе "Әділет".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по депутатским полномочиям и этике, законности и правопорядку (Ы.Кошербай).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М.Молдагулов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села Умирзак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Н.Курманбаев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ноября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2014 года № 25/238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Умирзак города Актау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Умирзак города Актау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Умирзак, в том числе жилых массивов Рауан, Приморский, Приозерный-1, Приозерный-2, Приозерный-3. При этом раздельный сход местного сообщества для жителей жилых массивов Приозерный-1, Приозерный-2, Приозерный-3 проводится в форме одного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- раздельный сход) на территории села Умирзак созывается и проводится с целью избрания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Умирзак (далее – аким села).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города Актау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Умирзак организуется акимом села.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Перед открытием раздельного схода проводится регистрация присутствующих жителей села, имеющих право в нем участвовать. Не имеют права участвовать в раздельном сходе несовершеннолетние лица, лица,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признанные судом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недееспособными, а также лица, содержащиеся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местах лишения свободы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Умирзак.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