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573c" w14:textId="5f15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от 24 декабря 2014 года № 22/187. Зарегистрировано Депараментом юстиции от 16 января 2015 года № 2593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28 ноября 2014 года № 259-V «О республиканском бюджете на 2015-2017 годы» и решением Мангистауского областного маслихата от 11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2015-2017 годы» (зарегистрировано в Реестре государственной регистрации нормативных правовых актов за № 2567),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- 6 187 519,8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поступлениям- 4 605 727,0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- 11 934,8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- 10134,0тысячи тенге; поступленням трансфертов - 1 559 724,0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190114,3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- 136 329,7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- 150821,7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- 14 492,0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-138 924,2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- 138 924,2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- 149180,7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- 14 492,0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–4 235,5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28/235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областной бюджет  из бюджета Мангистауского района на 2015 год в сумме 408 166 тысяч тенге бюджетных изъятий.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Устанавить на 2015 год нормативы распределения доходов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- 79,3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- 100,0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- 37,4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- 79,2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Мангистауского районного маслихата Мангистауской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24/201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28.10.2015 </w:t>
      </w:r>
      <w:r>
        <w:rPr>
          <w:rFonts w:ascii="Times New Roman"/>
          <w:b w:val="false"/>
          <w:i w:val="false"/>
          <w:color w:val="000000"/>
          <w:sz w:val="28"/>
        </w:rPr>
        <w:t>№ 27/222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11.12.2015 </w:t>
      </w:r>
      <w:r>
        <w:rPr>
          <w:rFonts w:ascii="Times New Roman"/>
          <w:b w:val="false"/>
          <w:i w:val="false"/>
          <w:color w:val="000000"/>
          <w:sz w:val="28"/>
        </w:rPr>
        <w:t>№ 28/235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2015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170 687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177 725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44 494 тысячи тенге – повышение оплаты труда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5 163 тысячи тенге–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тысяч тенге - на реализацию Плана мероприятий по обеспечению прав и улучшению качества жизни инвалидов – установка дорожных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3 549 тысяч тенге - передачи функций государственных органов вышестоящего уровня государственного управления в нижестоящий.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Мангистауского районного маслихата Мангистауской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24/201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30.06.2015 </w:t>
      </w:r>
      <w:r>
        <w:rPr>
          <w:rFonts w:ascii="Times New Roman"/>
          <w:b w:val="false"/>
          <w:i w:val="false"/>
          <w:color w:val="000000"/>
          <w:sz w:val="28"/>
        </w:rPr>
        <w:t>№ 25/207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28.10.2015 </w:t>
      </w:r>
      <w:r>
        <w:rPr>
          <w:rFonts w:ascii="Times New Roman"/>
          <w:b w:val="false"/>
          <w:i w:val="false"/>
          <w:color w:val="000000"/>
          <w:sz w:val="28"/>
        </w:rPr>
        <w:t>№ 27/222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11.12.2015 </w:t>
      </w:r>
      <w:r>
        <w:rPr>
          <w:rFonts w:ascii="Times New Roman"/>
          <w:b w:val="false"/>
          <w:i w:val="false"/>
          <w:color w:val="000000"/>
          <w:sz w:val="28"/>
        </w:rPr>
        <w:t>№ 28/235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2015 год предусмотрены трансферты за счет Национального Фонда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88 569 тысяч тенге -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4-1 в соответствии с решением Мангистауского районного маслихата Мангистауской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24/201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в редакции решения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000000"/>
          <w:sz w:val="28"/>
        </w:rPr>
        <w:t>№ 25/207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предусмотрены бюджетные кредиты из республиканского бюджета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149 180,7 тысяч тенге –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Мангистауского районного маслихата Мангистауской области от 28.10.2015 </w:t>
      </w:r>
      <w:r>
        <w:rPr>
          <w:rFonts w:ascii="Times New Roman"/>
          <w:b w:val="false"/>
          <w:i w:val="false"/>
          <w:color w:val="000000"/>
          <w:sz w:val="28"/>
        </w:rPr>
        <w:t>№ 27/222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2015 год предусмотрены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771 377 тысяч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67 759 тысяч тенге -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85 750 тысяч тенге – на строительство 4-х квартирного жилого дома в селах Акшымырау, Онды, Тущыкудук, Жынгылды;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85 660 тысяч тенге– на строительство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Мангистауского районного маслихата Мангистауской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24/201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30.06.2015 </w:t>
      </w:r>
      <w:r>
        <w:rPr>
          <w:rFonts w:ascii="Times New Roman"/>
          <w:b w:val="false"/>
          <w:i w:val="false"/>
          <w:color w:val="000000"/>
          <w:sz w:val="28"/>
        </w:rPr>
        <w:t>№ 25/207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28.10.2015 </w:t>
      </w:r>
      <w:r>
        <w:rPr>
          <w:rFonts w:ascii="Times New Roman"/>
          <w:b w:val="false"/>
          <w:i w:val="false"/>
          <w:color w:val="000000"/>
          <w:sz w:val="28"/>
        </w:rPr>
        <w:t>№ 27/222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11.12.2015 </w:t>
      </w:r>
      <w:r>
        <w:rPr>
          <w:rFonts w:ascii="Times New Roman"/>
          <w:b w:val="false"/>
          <w:i w:val="false"/>
          <w:color w:val="000000"/>
          <w:sz w:val="28"/>
        </w:rPr>
        <w:t>№ 28/235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2015 год предусмотрены целевые текущие трансферты из областного бюджета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12 386 тысяч тенге – на проведение мероприятий, посвященных семидесятилетию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11 640 тысяч тенге – текущий ремонт территорий перед зданим сельского акимата с.Шетпе;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22 170 тысяч тенге -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000000"/>
          <w:sz w:val="28"/>
        </w:rPr>
        <w:t>№ 25/207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28.10.2015 </w:t>
      </w:r>
      <w:r>
        <w:rPr>
          <w:rFonts w:ascii="Times New Roman"/>
          <w:b w:val="false"/>
          <w:i w:val="false"/>
          <w:color w:val="000000"/>
          <w:sz w:val="28"/>
        </w:rPr>
        <w:t>№ 27/222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культуры, спорта и ветеринарии, работающим в сельской местности и поселках, не находящихся на территории административной подчиненности городов, в размере 12 100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в сферах здравоохранения, социального обеспечения, образования, культуры, спорта и ветеринарии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10.Утвердить резерв акимата района в сумме 5 969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Мангистауского районного маслихата Мангистауской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28/235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11.Утвердить перечень бюджетных программ на 2015 год, не подлежащих секвестру в процессе исполнения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Руководителью аппарата Мангистауского районного маслихата (Е.Калиев) после государственной регистрации в департаменте юстиции Мангистаукой области обеспечить официальное опубликование настоящего решения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заместителя акима Мангистауского района (А.Сарбалаев).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2015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Б.Надиров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Т.Кыланов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2014 года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Мангистауского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22/187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Мангистауского районного маслихата Мангистауской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28/235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678"/>
        <w:gridCol w:w="8910"/>
        <w:gridCol w:w="1656"/>
      </w:tblGrid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6 187 519,8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4 605727,0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313039,0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313039,0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242857,0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242857,0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3 966 087,0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3 935 617,0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12 390,0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47 438,0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49 728,0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33 232,0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11 934,8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3 479,8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1 654,0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1 654,0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10 134,0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1 559 724,0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1 559 724,0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1 559 724,0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718"/>
        <w:gridCol w:w="677"/>
        <w:gridCol w:w="8771"/>
        <w:gridCol w:w="1570"/>
      </w:tblGrid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6 190114,3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115 604,0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96 854,0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18 750,0</w:t>
            </w:r>
          </w:p>
        </w:tc>
      </w:tr>
      <w:tr>
        <w:trPr>
          <w:trHeight w:val="2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178 092,0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178 092,0</w:t>
            </w:r>
          </w:p>
        </w:tc>
      </w:tr>
      <w:tr>
        <w:trPr>
          <w:trHeight w:val="2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38 102,0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36 816,0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30 907,0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2 838 727,0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472333,0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206 780,0</w:t>
            </w:r>
          </w:p>
        </w:tc>
      </w:tr>
      <w:tr>
        <w:trPr>
          <w:trHeight w:val="2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265 553,0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2 265 122,0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2 050 502,0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52 373,0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17 583,0</w:t>
            </w:r>
          </w:p>
        </w:tc>
      </w:tr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61577,0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89139,0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89 139,0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334518,0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1 556,0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326 074,0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27 602,0</w:t>
            </w:r>
          </w:p>
        </w:tc>
      </w:tr>
      <w:tr>
        <w:trPr>
          <w:trHeight w:val="4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202424,0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6 489,0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601 627,0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59 689,0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развитиеи (или) обустройство инженерно-коммуникационной инфраструктуры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37 154,0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293 937,0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74 133,0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развитиеи (или) обустройство инженерно-коммуникационной инфраструктуры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19 652,0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198 213,0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117 278,0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63965,0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51839,0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124 417,0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115 217,0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234674,0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3 613,0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8 303,0</w:t>
            </w:r>
          </w:p>
        </w:tc>
      </w:tr>
      <w:tr>
        <w:trPr>
          <w:trHeight w:val="2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206874,0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131250,0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41 410,0</w:t>
            </w:r>
          </w:p>
        </w:tc>
      </w:tr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15 092,0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131 711,0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102499,0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63 145,0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18 661,0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8 708,1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8 708,1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4 371,1 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4 371,1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5 581,8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5 581,8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1 176271,0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1 176271,0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777 268,0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399003,0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9 347,0</w:t>
            </w:r>
          </w:p>
        </w:tc>
      </w:tr>
      <w:tr>
        <w:trPr>
          <w:trHeight w:val="2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5 969,0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1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408 166,0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136 329,7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-138 924,2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138 924,2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149 180,7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149 180,7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149 180,7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4 235,5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Мангистауского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22/187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89"/>
        <w:gridCol w:w="755"/>
        <w:gridCol w:w="7181"/>
        <w:gridCol w:w="2814"/>
      </w:tblGrid>
      <w:tr>
        <w:trPr>
          <w:trHeight w:val="1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5 629 963,0</w:t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4 675 979,0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240 369,0</w:t>
            </w:r>
          </w:p>
        </w:tc>
      </w:tr>
      <w:tr>
        <w:trPr>
          <w:trHeight w:val="2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240 369,0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147 327,0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147 327,0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4 231 228,0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4 159 003,0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58 655,0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46 295,0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10 516,0</w:t>
            </w:r>
          </w:p>
        </w:tc>
      </w:tr>
      <w:tr>
        <w:trPr>
          <w:trHeight w:val="1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5 339,0</w:t>
            </w:r>
          </w:p>
        </w:tc>
      </w:tr>
      <w:tr>
        <w:trPr>
          <w:trHeight w:val="4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1 513,0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27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</w:p>
        </w:tc>
      </w:tr>
      <w:tr>
        <w:trPr>
          <w:trHeight w:val="5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13 496,0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13 496,0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931 538,0</w:t>
            </w:r>
          </w:p>
        </w:tc>
      </w:tr>
      <w:tr>
        <w:trPr>
          <w:trHeight w:val="1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931 538,0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931 538,0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5 629 963,0</w:t>
            </w:r>
          </w:p>
        </w:tc>
      </w:tr>
      <w:tr>
        <w:trPr>
          <w:trHeight w:val="3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344 065,0</w:t>
            </w:r>
          </w:p>
        </w:tc>
      </w:tr>
      <w:tr>
        <w:trPr>
          <w:trHeight w:val="40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18 192,0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17 992,0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71 366,0</w:t>
            </w:r>
          </w:p>
        </w:tc>
      </w:tr>
      <w:tr>
        <w:trPr>
          <w:trHeight w:val="3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69 866,0</w:t>
            </w:r>
          </w:p>
        </w:tc>
      </w:tr>
      <w:tr>
        <w:trPr>
          <w:trHeight w:val="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200 222,0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200 222,0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13 856,0</w:t>
            </w:r>
          </w:p>
        </w:tc>
      </w:tr>
      <w:tr>
        <w:trPr>
          <w:trHeight w:val="34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13 856,0</w:t>
            </w:r>
          </w:p>
        </w:tc>
      </w:tr>
      <w:tr>
        <w:trPr>
          <w:trHeight w:val="31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40 429,0</w:t>
            </w:r>
          </w:p>
        </w:tc>
      </w:tr>
      <w:tr>
        <w:trPr>
          <w:trHeight w:val="4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13 739,0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25 993,0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</w:tr>
      <w:tr>
        <w:trPr>
          <w:trHeight w:val="58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10 430,0</w:t>
            </w:r>
          </w:p>
        </w:tc>
      </w:tr>
      <w:tr>
        <w:trPr>
          <w:trHeight w:val="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10 430,0</w:t>
            </w:r>
          </w:p>
        </w:tc>
      </w:tr>
      <w:tr>
        <w:trPr>
          <w:trHeight w:val="1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2 944 054,0</w:t>
            </w:r>
          </w:p>
        </w:tc>
      </w:tr>
      <w:tr>
        <w:trPr>
          <w:trHeight w:val="1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177 562,0</w:t>
            </w:r>
          </w:p>
        </w:tc>
      </w:tr>
      <w:tr>
        <w:trPr>
          <w:trHeight w:val="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177 562,0</w:t>
            </w:r>
          </w:p>
        </w:tc>
      </w:tr>
      <w:tr>
        <w:trPr>
          <w:trHeight w:val="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2 228 892,0</w:t>
            </w:r>
          </w:p>
        </w:tc>
      </w:tr>
      <w:tr>
        <w:trPr>
          <w:trHeight w:val="3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26 991,0</w:t>
            </w:r>
          </w:p>
        </w:tc>
      </w:tr>
      <w:tr>
        <w:trPr>
          <w:trHeight w:val="3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2 083 777,0</w:t>
            </w:r>
          </w:p>
        </w:tc>
      </w:tr>
      <w:tr>
        <w:trPr>
          <w:trHeight w:val="1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50 427,0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17 646,0</w:t>
            </w:r>
          </w:p>
        </w:tc>
      </w:tr>
      <w:tr>
        <w:trPr>
          <w:trHeight w:val="2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40 583,0</w:t>
            </w:r>
          </w:p>
        </w:tc>
      </w:tr>
      <w:tr>
        <w:trPr>
          <w:trHeight w:val="2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1 433,0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6 126,0</w:t>
            </w:r>
          </w:p>
        </w:tc>
      </w:tr>
      <w:tr>
        <w:trPr>
          <w:trHeight w:val="6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</w:p>
        </w:tc>
      </w:tr>
      <w:tr>
        <w:trPr>
          <w:trHeight w:val="4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86 072,0</w:t>
            </w:r>
          </w:p>
        </w:tc>
      </w:tr>
      <w:tr>
        <w:trPr>
          <w:trHeight w:val="5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86 072,0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451 528,0</w:t>
            </w:r>
          </w:p>
        </w:tc>
      </w:tr>
      <w:tr>
        <w:trPr>
          <w:trHeight w:val="1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451 528,0</w:t>
            </w:r>
          </w:p>
        </w:tc>
      </w:tr>
      <w:tr>
        <w:trPr>
          <w:trHeight w:val="1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346 846,0</w:t>
            </w:r>
          </w:p>
        </w:tc>
      </w:tr>
      <w:tr>
        <w:trPr>
          <w:trHeight w:val="1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5 562,0</w:t>
            </w:r>
          </w:p>
        </w:tc>
      </w:tr>
      <w:tr>
        <w:trPr>
          <w:trHeight w:val="1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5 562,0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341 284,0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25 255,0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30 366,0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5 988,0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241 688,0</w:t>
            </w:r>
          </w:p>
        </w:tc>
      </w:tr>
      <w:tr>
        <w:trPr>
          <w:trHeight w:val="2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</w:p>
        </w:tc>
      </w:tr>
      <w:tr>
        <w:trPr>
          <w:trHeight w:val="1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22 213,0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376 157,0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258 369,0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258 369,0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117 788,0</w:t>
            </w:r>
          </w:p>
        </w:tc>
      </w:tr>
      <w:tr>
        <w:trPr>
          <w:trHeight w:val="3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61 018,0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56 770,0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204 057,0</w:t>
            </w:r>
          </w:p>
        </w:tc>
      </w:tr>
      <w:tr>
        <w:trPr>
          <w:trHeight w:val="2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182 765,0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117 409,0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36 971,0</w:t>
            </w:r>
          </w:p>
        </w:tc>
      </w:tr>
      <w:tr>
        <w:trPr>
          <w:trHeight w:val="1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</w:p>
        </w:tc>
      </w:tr>
      <w:tr>
        <w:trPr>
          <w:trHeight w:val="1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10 638,0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138 687,0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18 010,0</w:t>
            </w:r>
          </w:p>
        </w:tc>
      </w:tr>
      <w:tr>
        <w:trPr>
          <w:trHeight w:val="1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18 010,0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109 753,0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11 824,0</w:t>
            </w:r>
          </w:p>
        </w:tc>
      </w:tr>
      <w:tr>
        <w:trPr>
          <w:trHeight w:val="2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67 565,0</w:t>
            </w:r>
          </w:p>
        </w:tc>
      </w:tr>
      <w:tr>
        <w:trPr>
          <w:trHeight w:val="1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10 924,0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10 924,0</w:t>
            </w:r>
          </w:p>
        </w:tc>
      </w:tr>
      <w:tr>
        <w:trPr>
          <w:trHeight w:val="1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15 312,0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1 160 478,0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1 160 478,0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602 949,0</w:t>
            </w:r>
          </w:p>
        </w:tc>
      </w:tr>
      <w:tr>
        <w:trPr>
          <w:trHeight w:val="10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557 529,0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89 877,0</w:t>
            </w:r>
          </w:p>
        </w:tc>
      </w:tr>
      <w:tr>
        <w:trPr>
          <w:trHeight w:val="1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9 877,0</w:t>
            </w:r>
          </w:p>
        </w:tc>
      </w:tr>
      <w:tr>
        <w:trPr>
          <w:trHeight w:val="1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13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Мангистауского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22/187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59"/>
        <w:gridCol w:w="823"/>
        <w:gridCol w:w="7409"/>
        <w:gridCol w:w="2871"/>
      </w:tblGrid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5 124 731,0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5 100 713,0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300 573,0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300 573,0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211 678,0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211 678,0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4 527 413,0</w:t>
            </w:r>
          </w:p>
        </w:tc>
      </w:tr>
      <w:tr>
        <w:trPr>
          <w:trHeight w:val="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4 450 134,0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13 829,0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62 761,0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49 536,0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4 044,0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35 636,0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9 763,0</w:t>
            </w:r>
          </w:p>
        </w:tc>
      </w:tr>
      <w:tr>
        <w:trPr>
          <w:trHeight w:val="1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11 252,0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11 252,0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2 292,0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1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18 305,0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3 864,0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14 441,0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14 441,0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5 124 731,0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379 766,0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73 430,0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208 697,0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208 697,0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35 136,0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14 436,0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42 409,0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27 108,0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10 982,0</w:t>
            </w:r>
          </w:p>
        </w:tc>
      </w:tr>
      <w:tr>
        <w:trPr>
          <w:trHeight w:val="8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10 982,0</w:t>
            </w:r>
          </w:p>
        </w:tc>
      </w:tr>
      <w:tr>
        <w:trPr>
          <w:trHeight w:val="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2 558 435,0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181 735,0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181 735,0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2 288 023,0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27 907,0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2 136 948,0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51 328,0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18 418,0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43 424,0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1 533,0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88 677,0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88 677,0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368 218,0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5 299,0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5 299,0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362 919,0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27 023,0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6 407,0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257 309,0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3 988,0</w:t>
            </w:r>
          </w:p>
        </w:tc>
      </w:tr>
      <w:tr>
        <w:trPr>
          <w:trHeight w:val="1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126 734,0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126 734,0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65 989,0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60 745,0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210 799,0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22 577,0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9 621,0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6 999,0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188 222,0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120 809,0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2 529,0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37 689,0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147 994,0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19 726,0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19 726,0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116 863,0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12 360,0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3 660,0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23 214,0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72 295,0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11 405,0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11 405,0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15 917,0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15 917,0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15 917,0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1 230 464,0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1 230 464,0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836 768,0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393 696,0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75 422,0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88 677,0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Мангистауского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22/187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на 2015 год, не подлежащих 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693"/>
        <w:gridCol w:w="837"/>
        <w:gridCol w:w="9821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