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3fb" w14:textId="2855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2014 года № 184. Зарегистрировано Департаментом юстиции Костанайской области 3 июня 2014 года № 4794.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Абенова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184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договора залога права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договора залога права недропользования (далее -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подача услугополучателем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представленных услугополучателем, ставит отметку о регистрации с указанием даты и времени приема пакета документов,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пакет документов руководителю услугодателя для определения ответственного исполнителя и наложения соответствующей визы,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 на соответствие предъявляемым требованиям, подготавливает проект свидетельства,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свидетельство,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услугополучателю,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выданное свидетельство услугополучателю.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пакет документов руководителю услугодателя для определения ответственного исполнителя и наложения соответствующей визы,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отвественный исполнитель услугодателя рассматривает пакет документов на соответствие предъявляемым требованиям, подготавливает свидетельство,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свидетельство,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течение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ЦОНа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заявления и предоставления полного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 через курьерскую или иную уполномоченную на это связь,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подготавливает свидетельство, 2 рабочих дня и передает его через курьерскую или иную уполномоченную на это связь в ЦОН,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ЦОНа в срок, указанный в расписке о приеме соответствующих документов, выдает свидетельство услугополучателю, в течение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Центр обслуживания населения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
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771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