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102e" w14:textId="1331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поддержки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июня 2014 года № 288. Зарегистрировано Департаментом юстиции Костанайской области 29 июля 2014 года № 4962.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Костанайской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поддержки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производственной (индустриальной) инфраструктуры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Костанайской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Костанайской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Костанайской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года № 288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грантов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"Дорожная карта бизнеса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исключен постановлением акимата Костанайской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года № 288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поддержки по развитию</w:t>
      </w:r>
      <w:r>
        <w:br/>
      </w:r>
      <w:r>
        <w:rPr>
          <w:rFonts w:ascii="Times New Roman"/>
          <w:b/>
          <w:i w:val="false"/>
          <w:color w:val="000000"/>
        </w:rPr>
        <w:t>
производственной (индустриальной)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"Дорожная карта бизнеса 2020"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поддержки по развитию производственной (индустриальной)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 (далее - государственная услуга) оказывается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 – выписка из протокола заседания Регионального координационного совета (далее – РКС).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государственной услуги – бумажная.</w:t>
      </w:r>
    </w:p>
    <w:bookmarkEnd w:id="5"/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заявка и пакет документов (далее – пакет документов),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2020", утвержденного постановлением Правительства Республики Казахстан от 4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поддержки предпринимательской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регистрацию пакета документов, не более 20 минут, передает пакет документов руководителю услугодателя,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налагает соответствующую визу, 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13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 государственной услуги, 1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выданный результат оказания государственной услуги услугополучателю.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регистрации пакета документов, не более 20 минут, передает его руководителю услугодателя,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ознакомившись с пакетом документов, передает его с соответствующей визой ответственному исполнителю услугодателя,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передает его руководителю услугодателя для подписания, 13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услугодателя, подписав проект результата оказания государственной услуги, передает его сотруднику канцелярии услугодателя,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
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республиканского государственного предприятия "Центр обслуживания населения" по Костанайской области и веб-портал "электронного правительства" не оказывается.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"Предоставление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развитию производственной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(индустриальной)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программы "Дорожная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карта бизнеса 2020"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 с указанием</w:t>
      </w:r>
      <w:r>
        <w:br/>
      </w:r>
      <w:r>
        <w:rPr>
          <w:rFonts w:ascii="Times New Roman"/>
          <w:b/>
          <w:i w:val="false"/>
          <w:color w:val="000000"/>
        </w:rPr>
        <w:t>
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"Предоставление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развитию производственной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(индустриальной)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программы "Дорожная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карта бизнеса 2020"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поддержки по развитию 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>
(индустриальной) инфраструктуры в</w:t>
      </w:r>
      <w:r>
        <w:br/>
      </w:r>
      <w:r>
        <w:rPr>
          <w:rFonts w:ascii="Times New Roman"/>
          <w:b/>
          <w:i w:val="false"/>
          <w:color w:val="000000"/>
        </w:rPr>
        <w:t>
рамках программы "Дорожная карта</w:t>
      </w:r>
      <w:r>
        <w:br/>
      </w:r>
      <w:r>
        <w:rPr>
          <w:rFonts w:ascii="Times New Roman"/>
          <w:b/>
          <w:i w:val="false"/>
          <w:color w:val="000000"/>
        </w:rPr>
        <w:t>
бизнеса 2020"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года № 288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грантов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"Развитие моногородов</w:t>
      </w:r>
      <w:r>
        <w:br/>
      </w:r>
      <w:r>
        <w:rPr>
          <w:rFonts w:ascii="Times New Roman"/>
          <w:b/>
          <w:i w:val="false"/>
          <w:color w:val="000000"/>
        </w:rPr>
        <w:t>
на 2012-2020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исключен постановлением акимата Костанайской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года № 288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поддержки по развитию</w:t>
      </w:r>
      <w:r>
        <w:br/>
      </w:r>
      <w:r>
        <w:rPr>
          <w:rFonts w:ascii="Times New Roman"/>
          <w:b/>
          <w:i w:val="false"/>
          <w:color w:val="000000"/>
        </w:rPr>
        <w:t>
производственной (индустриальной)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"Развитие моногородов на 2012-2020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исключен постановлением акимата Костанайской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года № 288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субсидирования ставки</w:t>
      </w:r>
      <w:r>
        <w:br/>
      </w:r>
      <w:r>
        <w:rPr>
          <w:rFonts w:ascii="Times New Roman"/>
          <w:b/>
          <w:i w:val="false"/>
          <w:color w:val="000000"/>
        </w:rPr>
        <w:t>
вознаграждения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"Развитие моногородов на</w:t>
      </w:r>
      <w:r>
        <w:br/>
      </w:r>
      <w:r>
        <w:rPr>
          <w:rFonts w:ascii="Times New Roman"/>
          <w:b/>
          <w:i w:val="false"/>
          <w:color w:val="000000"/>
        </w:rPr>
        <w:t>
2012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исключен постановлением акимата Костанайской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