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459f" w14:textId="aeb4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Рудненского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Рудного Костанайской области от 9 апреля 2014 года № 260. Зарегистрировано Департаментом юстиции Костанайской области 13 мая 2014 года № 4696. Утратило силу решением маслихата города Рудного Костанайской области от 2 мая 2017 года № 119</w:t>
      </w:r>
    </w:p>
    <w:p>
      <w:pPr>
        <w:spacing w:after="0"/>
        <w:ind w:left="0"/>
        <w:jc w:val="left"/>
      </w:pPr>
      <w:r>
        <w:rPr>
          <w:rFonts w:ascii="Times New Roman"/>
          <w:b w:val="false"/>
          <w:i w:val="false"/>
          <w:color w:val="ff0000"/>
          <w:sz w:val="28"/>
        </w:rPr>
        <w:t xml:space="preserve">      Сноска. Утратило силу решением маслихата города Рудного Костанайской области от 02.05.2017 </w:t>
      </w:r>
      <w:r>
        <w:rPr>
          <w:rFonts w:ascii="Times New Roman"/>
          <w:b w:val="false"/>
          <w:i w:val="false"/>
          <w:color w:val="ff0000"/>
          <w:sz w:val="28"/>
        </w:rPr>
        <w:t>№ 119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Рудненского городского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w:t>
            </w:r>
            <w:r>
              <w:br/>
            </w:r>
            <w:r>
              <w:rPr>
                <w:rFonts w:ascii="Times New Roman"/>
                <w:b w:val="false"/>
                <w:i/>
                <w:color w:val="000000"/>
                <w:sz w:val="20"/>
              </w:rPr>
              <w:t>сессии, секретарь</w:t>
            </w:r>
            <w:r>
              <w:br/>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от 9 апреля 2014 года № 260</w:t>
            </w:r>
          </w:p>
        </w:tc>
      </w:tr>
    </w:tbl>
    <w:p>
      <w:pPr>
        <w:spacing w:after="0"/>
        <w:ind w:left="0"/>
        <w:jc w:val="left"/>
      </w:pPr>
      <w:r>
        <w:rPr>
          <w:rFonts w:ascii="Times New Roman"/>
          <w:b/>
          <w:i w:val="false"/>
          <w:color w:val="000000"/>
        </w:rPr>
        <w:t xml:space="preserve"> Регламент Рудненского городского маслихата</w:t>
      </w:r>
    </w:p>
    <w:bookmarkStart w:name="z5"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Рудненского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Рудненского городского маслихата (далее – маслихат),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Порядок проведения сессии маслихата</w:t>
      </w:r>
    </w:p>
    <w:bookmarkEnd w:id="1"/>
    <w:bookmarkStart w:name="z10" w:id="2"/>
    <w:p>
      <w:pPr>
        <w:spacing w:after="0"/>
        <w:ind w:left="0"/>
        <w:jc w:val="left"/>
      </w:pPr>
      <w:r>
        <w:rPr>
          <w:rFonts w:ascii="Times New Roman"/>
          <w:b/>
          <w:i w:val="false"/>
          <w:color w:val="000000"/>
        </w:rPr>
        <w:t xml:space="preserve"> 2.1. Сессии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 Рудного.</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приглашаются акимы города, села, поселка,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допускается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2.2. Порядок принятия актов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Нормативные правовые решения маслихата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города Рудного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Рудного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 Рудного.</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города Рудного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бюджета города Рудного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города Рудного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3. Порядок заслушивания отчетов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территории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соответствующей территории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 утверждение маслихатом представленных акимом города Рудного отчетов об исполнении планов, экономических и социальных программ развития территории,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области об исполнении бюджета рассматривается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села, поселка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4. Порядок рассмотрения запросов депутатов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6"/>
    <w:bookmarkStart w:name="z55" w:id="7"/>
    <w:p>
      <w:pPr>
        <w:spacing w:after="0"/>
        <w:ind w:left="0"/>
        <w:jc w:val="left"/>
      </w:pPr>
      <w:r>
        <w:rPr>
          <w:rFonts w:ascii="Times New Roman"/>
          <w:b/>
          <w:i w:val="false"/>
          <w:color w:val="000000"/>
        </w:rPr>
        <w:t xml:space="preserve"> 5.1. Председатель сессии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63" w:id="8"/>
    <w:p>
      <w:pPr>
        <w:spacing w:after="0"/>
        <w:ind w:left="0"/>
        <w:jc w:val="left"/>
      </w:pPr>
      <w:r>
        <w:rPr>
          <w:rFonts w:ascii="Times New Roman"/>
          <w:b/>
          <w:i w:val="false"/>
          <w:color w:val="000000"/>
        </w:rPr>
        <w:t xml:space="preserve"> 5.2. Секретарь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7" w:id="9"/>
    <w:p>
      <w:pPr>
        <w:spacing w:after="0"/>
        <w:ind w:left="0"/>
        <w:jc w:val="left"/>
      </w:pPr>
      <w:r>
        <w:rPr>
          <w:rFonts w:ascii="Times New Roman"/>
          <w:b/>
          <w:i w:val="false"/>
          <w:color w:val="000000"/>
        </w:rPr>
        <w:t xml:space="preserve"> 5.3. Постоянные и временные комиссии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51.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от 15 марта 1999 года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73" w:id="10"/>
    <w:p>
      <w:pPr>
        <w:spacing w:after="0"/>
        <w:ind w:left="0"/>
        <w:jc w:val="left"/>
      </w:pPr>
      <w:r>
        <w:rPr>
          <w:rFonts w:ascii="Times New Roman"/>
          <w:b/>
          <w:i w:val="false"/>
          <w:color w:val="000000"/>
        </w:rPr>
        <w:t xml:space="preserve"> 5.4. Редакционная и счетная комиссия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7" w:id="11"/>
    <w:p>
      <w:pPr>
        <w:spacing w:after="0"/>
        <w:ind w:left="0"/>
        <w:jc w:val="left"/>
      </w:pPr>
      <w:r>
        <w:rPr>
          <w:rFonts w:ascii="Times New Roman"/>
          <w:b/>
          <w:i w:val="false"/>
          <w:color w:val="000000"/>
        </w:rPr>
        <w:t xml:space="preserve"> 5.5. Депутатские объединения в маслихате</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86" w:id="12"/>
    <w:p>
      <w:pPr>
        <w:spacing w:after="0"/>
        <w:ind w:left="0"/>
        <w:jc w:val="left"/>
      </w:pPr>
      <w:r>
        <w:rPr>
          <w:rFonts w:ascii="Times New Roman"/>
          <w:b/>
          <w:i w:val="false"/>
          <w:color w:val="000000"/>
        </w:rPr>
        <w:t xml:space="preserve"> 6. Депутатская этика</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настоящим регламентом,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98" w:id="13"/>
    <w:p>
      <w:pPr>
        <w:spacing w:after="0"/>
        <w:ind w:left="0"/>
        <w:jc w:val="left"/>
      </w:pPr>
      <w:r>
        <w:rPr>
          <w:rFonts w:ascii="Times New Roman"/>
          <w:b/>
          <w:i w:val="false"/>
          <w:color w:val="000000"/>
        </w:rPr>
        <w:t xml:space="preserve"> 7. Организация работы аппарата маслихата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