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aa4a" w14:textId="dcda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Лисаковского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Лисаковска Костанайской области от 13 февраля 2014 года № 195. Зарегистрировано Департаментом юстиции Костанайской области 20 марта 2014 года № 4520. Утратило силу решением маслихата города Лисаковска Костанайской области от 28 апреля 2017 года № 114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города Лисаковска Костанайской области от 28.04.2017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Лисаковский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Лисаковского городского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ХIV сессии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Жарылкасымова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13 февраля 2014 года № 195</w:t>
            </w:r>
          </w:p>
        </w:tc>
      </w:tr>
    </w:tbl>
    <w:bookmarkStart w:name="z5" w:id="0"/>
    <w:p>
      <w:pPr>
        <w:spacing w:after="0"/>
        <w:ind w:left="0"/>
        <w:jc w:val="left"/>
      </w:pPr>
      <w:r>
        <w:rPr>
          <w:rFonts w:ascii="Times New Roman"/>
          <w:b/>
          <w:i w:val="false"/>
          <w:color w:val="000000"/>
        </w:rPr>
        <w:t xml:space="preserve"> Регламент Лисаковского городского маслихата</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w:t>
      </w:r>
      <w:r>
        <w:rPr>
          <w:rFonts w:ascii="Times New Roman"/>
          <w:b w:val="false"/>
          <w:i w:val="false"/>
          <w:color w:val="000000"/>
          <w:sz w:val="28"/>
        </w:rPr>
        <w:t>Регламент</w:t>
      </w:r>
      <w:r>
        <w:rPr>
          <w:rFonts w:ascii="Times New Roman"/>
          <w:b w:val="false"/>
          <w:i w:val="false"/>
          <w:color w:val="000000"/>
          <w:sz w:val="28"/>
        </w:rPr>
        <w:t xml:space="preserve"> Лисаковского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Лисаковского городского маслихата (далее – городской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Порядок проведения сессии маслихата</w:t>
      </w:r>
    </w:p>
    <w:bookmarkEnd w:id="2"/>
    <w:bookmarkStart w:name="z11"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 Лисаковска.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городского маслихата приглашаются акимы города, села, поселка,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города Лисаковска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Лисаковска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Лисаковска утверждается городским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города Лисаковска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рассматриваются городским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села, поселка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7"/>
    <w:bookmarkStart w:name="z56"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4"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8"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4"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8"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7"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