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77bf" w14:textId="a5a7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 целевым группам населения, в Аулиекольском районе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5 февраля 2014 года № 22. Зарегистрировано Департаментом юстиции Костанайской области 3 марта 2014 года № 4467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группам, в Аулиекольском районе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Аулиекольского района" обеспечить меры по содействию занятости лиц,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Нугманову Р.С.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Балгарин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февраля 2014 года № 22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 относящихся</w:t>
      </w:r>
      <w:r>
        <w:br/>
      </w:r>
      <w:r>
        <w:rPr>
          <w:rFonts w:ascii="Times New Roman"/>
          <w:b/>
          <w:i w:val="false"/>
          <w:color w:val="000000"/>
        </w:rPr>
        <w:t>
к целевым группам, в Аулиекольском</w:t>
      </w:r>
      <w:r>
        <w:br/>
      </w:r>
      <w:r>
        <w:rPr>
          <w:rFonts w:ascii="Times New Roman"/>
          <w:b/>
          <w:i w:val="false"/>
          <w:color w:val="000000"/>
        </w:rPr>
        <w:t>
районе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Лица, старше пятидесяти лет, зарегистрированные в качестве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Граждане, длительное время не работающие (более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Ранее не работавшие безработные (не имеющие стажа работы).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Молодежь в возрасте от двадцати одного до двадцати девяти лет.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