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7901bc" w14:textId="e7901b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мест для размещения агитационных печатных материалов на территории Денисовского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Денисовского района Костанайской области от 8 апреля 2014 года № 68. Зарегистрировано Департаментом юстиции Костанайской области 12 мая 2014 года № 4692. Утратило силу постановлением акимата Денисовского района Костанайской области от 24 ноября 2020 года № 231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Денисовского района Костанайской области от 24.11.2020 </w:t>
      </w:r>
      <w:r>
        <w:rPr>
          <w:rFonts w:ascii="Times New Roman"/>
          <w:b w:val="false"/>
          <w:i w:val="false"/>
          <w:color w:val="ff0000"/>
          <w:sz w:val="28"/>
        </w:rPr>
        <w:t>№ 231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6 </w:t>
      </w:r>
      <w:r>
        <w:rPr>
          <w:rFonts w:ascii="Times New Roman"/>
          <w:b w:val="false"/>
          <w:i w:val="false"/>
          <w:color w:val="000000"/>
          <w:sz w:val="28"/>
        </w:rPr>
        <w:t>статьи 28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 от 28 сентября 1995 года "О выборах в Республике Казахстан", акимат Денисовского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Совместно с Денисовской районной избирательной комиссией определить места для размещения агитационных печатных материалов на территории Денисовского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, оснастить указанные места стендами, щитами, тумбами.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1245"/>
        <w:gridCol w:w="1055"/>
      </w:tblGrid>
      <w:tr>
        <w:trPr>
          <w:trHeight w:val="30" w:hRule="atLeast"/>
        </w:trPr>
        <w:tc>
          <w:tcPr>
            <w:tcW w:w="112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района</w:t>
            </w:r>
          </w:p>
        </w:tc>
        <w:tc>
          <w:tcPr>
            <w:tcW w:w="10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Жаманов</w:t>
            </w:r>
          </w:p>
        </w:tc>
      </w:tr>
      <w:tr>
        <w:trPr>
          <w:trHeight w:val="30" w:hRule="atLeast"/>
        </w:trPr>
        <w:tc>
          <w:tcPr>
            <w:tcW w:w="112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СОГЛАСОВАНО</w:t>
            </w:r>
          </w:p>
        </w:tc>
        <w:tc>
          <w:tcPr>
            <w:tcW w:w="10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Денисовской</w:t>
            </w:r>
          </w:p>
        </w:tc>
        <w:tc>
          <w:tcPr>
            <w:tcW w:w="10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районной избирательной комиссии</w:t>
            </w:r>
          </w:p>
        </w:tc>
        <w:tc>
          <w:tcPr>
            <w:tcW w:w="10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 В. Моргуль</w:t>
            </w:r>
          </w:p>
        </w:tc>
        <w:tc>
          <w:tcPr>
            <w:tcW w:w="10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апреля 2014 года № 68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Места для размещения агитационных печатных материалов</w:t>
      </w:r>
      <w:r>
        <w:br/>
      </w:r>
      <w:r>
        <w:rPr>
          <w:rFonts w:ascii="Times New Roman"/>
          <w:b/>
          <w:i w:val="false"/>
          <w:color w:val="000000"/>
        </w:rPr>
        <w:t>на территории Денисовского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с изменением, внесенным постановлением акимата Денисовского района Костанайской области от 06.05.2019 </w:t>
      </w:r>
      <w:r>
        <w:rPr>
          <w:rFonts w:ascii="Times New Roman"/>
          <w:b w:val="false"/>
          <w:i w:val="false"/>
          <w:color w:val="ff0000"/>
          <w:sz w:val="28"/>
        </w:rPr>
        <w:t>№ 71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43"/>
        <w:gridCol w:w="1767"/>
        <w:gridCol w:w="7790"/>
      </w:tblGrid>
      <w:tr>
        <w:trPr>
          <w:trHeight w:val="30" w:hRule="atLeast"/>
        </w:trPr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Места для размещения агитационных печатных материалов</w:t>
            </w:r>
          </w:p>
        </w:tc>
      </w:tr>
      <w:tr>
        <w:trPr>
          <w:trHeight w:val="30" w:hRule="atLeast"/>
        </w:trPr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Денисовка</w:t>
            </w:r>
          </w:p>
        </w:tc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пересечение улиц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Калинина-Нурпеисова,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Калинина-Ленина,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Амангельды-Элеваторная</w:t>
            </w:r>
          </w:p>
        </w:tc>
      </w:tr>
      <w:tr>
        <w:trPr>
          <w:trHeight w:val="30" w:hRule="atLeast"/>
        </w:trPr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Глебовка</w:t>
            </w:r>
          </w:p>
        </w:tc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 здания государственного учреждения "Аппарат акима села Глебовка", улица Центральная</w:t>
            </w:r>
          </w:p>
        </w:tc>
      </w:tr>
      <w:tr>
        <w:trPr>
          <w:trHeight w:val="30" w:hRule="atLeast"/>
        </w:trPr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Антоновка</w:t>
            </w:r>
          </w:p>
        </w:tc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 здания государственного учреждения "Аппарат акима Тельманского сельского округа", улица Садовая</w:t>
            </w:r>
          </w:p>
        </w:tc>
      </w:tr>
      <w:tr>
        <w:trPr>
          <w:trHeight w:val="30" w:hRule="atLeast"/>
        </w:trPr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Покровка</w:t>
            </w:r>
          </w:p>
        </w:tc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 здания государственного учреждения "Аппарат акима Покровского сельского округа", улица Мира</w:t>
            </w:r>
          </w:p>
        </w:tc>
      </w:tr>
      <w:tr>
        <w:trPr>
          <w:trHeight w:val="30" w:hRule="atLeast"/>
        </w:trPr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Фрунзенское</w:t>
            </w:r>
          </w:p>
        </w:tc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 здания государственного учреждения "Фрунзенская средняя школа", улица Комсомольская</w:t>
            </w:r>
          </w:p>
        </w:tc>
      </w:tr>
      <w:tr>
        <w:trPr>
          <w:trHeight w:val="30" w:hRule="atLeast"/>
        </w:trPr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Аятское</w:t>
            </w:r>
          </w:p>
        </w:tc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центральной площади, улица Клубная</w:t>
            </w:r>
          </w:p>
        </w:tc>
      </w:tr>
      <w:tr>
        <w:trPr>
          <w:trHeight w:val="30" w:hRule="atLeast"/>
        </w:trPr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Зааятское</w:t>
            </w:r>
          </w:p>
        </w:tc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 здания государственного учреждения "Зааятская средняя школа", улица Школьная</w:t>
            </w:r>
          </w:p>
        </w:tc>
      </w:tr>
      <w:tr>
        <w:trPr>
          <w:trHeight w:val="30" w:hRule="atLeast"/>
        </w:trPr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Свердловка</w:t>
            </w:r>
          </w:p>
        </w:tc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 здания государственного учреждения "Аппарат акима Свердловского сельского округа", улица Производственная</w:t>
            </w:r>
          </w:p>
        </w:tc>
      </w:tr>
      <w:tr>
        <w:trPr>
          <w:trHeight w:val="30" w:hRule="atLeast"/>
        </w:trPr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Аршалы</w:t>
            </w:r>
          </w:p>
        </w:tc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 здания государственного учреждения "Аппарат акима Аршалинского сельского округа", улица Центральная</w:t>
            </w:r>
          </w:p>
        </w:tc>
      </w:tr>
      <w:tr>
        <w:trPr>
          <w:trHeight w:val="30" w:hRule="atLeast"/>
        </w:trPr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Приреченка</w:t>
            </w:r>
          </w:p>
        </w:tc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 здания государственного учреждения "Приреченская средняя школа", улица Клубная</w:t>
            </w:r>
          </w:p>
        </w:tc>
      </w:tr>
      <w:tr>
        <w:trPr>
          <w:trHeight w:val="30" w:hRule="atLeast"/>
        </w:trPr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Комаровка</w:t>
            </w:r>
          </w:p>
        </w:tc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 здания конторы товарищества с ограниченной ответственностью "Комаровка", улица Центральная</w:t>
            </w:r>
          </w:p>
        </w:tc>
      </w:tr>
      <w:tr>
        <w:trPr>
          <w:trHeight w:val="30" w:hRule="atLeast"/>
        </w:trPr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Крымское</w:t>
            </w:r>
          </w:p>
        </w:tc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 здания конторы товарищества с ограниченной ответственностью "Крымское", улица Ленина</w:t>
            </w:r>
          </w:p>
        </w:tc>
      </w:tr>
      <w:tr>
        <w:trPr>
          <w:trHeight w:val="30" w:hRule="atLeast"/>
        </w:trPr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Перелески</w:t>
            </w:r>
          </w:p>
        </w:tc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 здания государственного учреждения "Перелескинская средняя школа", улица Школьная</w:t>
            </w:r>
          </w:p>
        </w:tc>
      </w:tr>
      <w:tr>
        <w:trPr>
          <w:trHeight w:val="30" w:hRule="atLeast"/>
        </w:trPr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Жалтырколь</w:t>
            </w:r>
          </w:p>
        </w:tc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 здания государственного учреждения "Баталинская средняя школа", улица Мира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