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3cb61" w14:textId="d83cb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Глазуновского сельского округа Костанайского района Костанайской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11 марта 2014 года № 177. Зарегистрировано Департаментом юстиции Костанайской области 18 апреля 2014 года № 4612. Утратило силу решением маслихата Костанайского района Костанайской области от 9 апреля 2019 года № 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Костанайского района Костанайской области от 09.04.2019 </w:t>
      </w:r>
      <w:r>
        <w:rPr>
          <w:rFonts w:ascii="Times New Roman"/>
          <w:b w:val="false"/>
          <w:i w:val="false"/>
          <w:color w:val="ff0000"/>
          <w:sz w:val="28"/>
        </w:rPr>
        <w:t>№ 380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Костанайский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Глазуновского сельского округа Костанайского района Костанайской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Глазуновского сельского округа Костанайского района Костанайской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внеочередной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Кульбеков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Костанайского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 Глазуновского сельского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округа Костанайского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 Е. Бекишев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</w:t>
      </w:r>
      <w:r>
        <w:br/>
      </w:r>
      <w:r>
        <w:rPr>
          <w:rFonts w:ascii="Times New Roman"/>
          <w:b/>
          <w:i w:val="false"/>
          <w:color w:val="000000"/>
        </w:rPr>
        <w:t>сообщества Глазуновского сельского округа Костанайского района</w:t>
      </w:r>
      <w:r>
        <w:br/>
      </w:r>
      <w:r>
        <w:rPr>
          <w:rFonts w:ascii="Times New Roman"/>
          <w:b/>
          <w:i w:val="false"/>
          <w:color w:val="000000"/>
        </w:rPr>
        <w:t>Костанайской области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Общее положение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Глазуновского сельского округа Костанайского района Костанайской области (далее - Глазуновский сельский округ)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постановлением Правительства Республики Казахстан от 18 октября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1106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Глазуновского сельского округа.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Глазуновского сельского округа созывается и проводится с целью избрания представителей для участия в сходе местного сообщества.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2. </w:t>
      </w:r>
      <w:r>
        <w:rPr>
          <w:rFonts w:ascii="Times New Roman"/>
          <w:b w:val="false"/>
          <w:i w:val="false"/>
          <w:color w:val="000000"/>
          <w:sz w:val="28"/>
        </w:rPr>
        <w:t>Порядок проведения раздельных сходов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Глазуновского сельского округа.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Костанайского района на проведение схода местного сообщества.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средства массовой информации или иными способами.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Глазуновского сельского округа организуется акимом Глазуновского сельского округа.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Глазуновского сельского округа, имеющих право в нем участвовать.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Глазуновского сельского округа или уполномоченным им лицом.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Глазуновского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Глазуновского сельского округа для участия в сходе местного сообщества выдвигаются участниками раздельного схода в соответствии с количественным составом утвержденным Костанайским районным маслихатом.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 для участия в сходе местного сообщества определяется на основе принципа равного представительства.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способом,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 раздельном сходе ведется протокол, который подписывается председателем и секретарем и передается в аппарат акима Глазуновского сельского округа.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марта 2014 года № 177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</w:t>
      </w:r>
      <w:r>
        <w:br/>
      </w:r>
      <w:r>
        <w:rPr>
          <w:rFonts w:ascii="Times New Roman"/>
          <w:b/>
          <w:i w:val="false"/>
          <w:color w:val="000000"/>
        </w:rPr>
        <w:t>для участия в сходе местного сообщества Глазуновского</w:t>
      </w:r>
      <w:r>
        <w:br/>
      </w:r>
      <w:r>
        <w:rPr>
          <w:rFonts w:ascii="Times New Roman"/>
          <w:b/>
          <w:i w:val="false"/>
          <w:color w:val="000000"/>
        </w:rPr>
        <w:t>сельского округа Костанайского района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Костанайского района Костанайской области от 30.05.2018 </w:t>
      </w:r>
      <w:r>
        <w:rPr>
          <w:rFonts w:ascii="Times New Roman"/>
          <w:b w:val="false"/>
          <w:i w:val="false"/>
          <w:color w:val="ff0000"/>
          <w:sz w:val="28"/>
        </w:rPr>
        <w:t>№ 272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3"/>
        <w:gridCol w:w="4684"/>
        <w:gridCol w:w="6163"/>
      </w:tblGrid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Глазуновского сельского округа Костанайского района Костанайской области (человек)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Глазуновка Глазуновского сельского округа Костанайского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Қостомар Глазуновского сельского округа Костанайского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Степное Глазуновского сельского округа Костанайского района Костанайской области</w:t>
            </w:r>
          </w:p>
        </w:tc>
        <w:tc>
          <w:tcPr>
            <w:tcW w:w="6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