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1d6c" w14:textId="b631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Евгеновка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214. Зарегистрировано Департаментом юстиции Костанайской области 20 августа 2014 года № 5022. Утратило силу решением маслихата района Беимбета Майлина Костанайской области от 9 января 2020 года № 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09.01.2020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Евгеновка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Евгеновка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Евгеновка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Хасенов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Евгеновка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Евгеновка 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Евгеновка Тарановского района Костанайской области (далее – село)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