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232c" w14:textId="7992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23 июня 2014 года № 215. Зарегистрировано Департаментом юстиции Костанайской области 21 июля 2014 года № 4942. Утратило силу постановлением акимата Федоровского района Костанайской области от 20 ноября 2014 года № 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Федоровского района Костанайской области от 20.11.2014 № 414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коммунальных государственных предприятий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органам по руководству соответствующими отраслями (сферами) государственного управления представлять в срок до 1 мая года, предшествующего планируемому, в уполномоченный орган по управлению государственным имуществом прогнозные суммы части чистого дохода, подлежащие перечислению в районный бюджет на предстоящий трехлетний период, а также размер чистого дохода, перечисленного коммунальным государственным предприятием в районный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444444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исполняющего обязанности заместителя акима района Баямбетова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Федоровского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2014 года № 215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</w:t>
      </w:r>
      <w:r>
        <w:br/>
      </w:r>
      <w:r>
        <w:rPr>
          <w:rFonts w:ascii="Times New Roman"/>
          <w:b/>
          <w:i w:val="false"/>
          <w:color w:val="000000"/>
        </w:rPr>
        <w:t>
дохода коммунальных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2"/>
        <w:gridCol w:w="6618"/>
      </w:tblGrid>
      <w:tr>
        <w:trPr>
          <w:trHeight w:val="615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3 000 000 тенге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</w:p>
        </w:tc>
      </w:tr>
      <w:tr>
        <w:trPr>
          <w:trHeight w:val="117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50 000 000 тенге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тенге + 10 процентов с суммы, превышающей чистый доход в размере 3 000 000 тенге</w:t>
            </w:r>
          </w:p>
        </w:tc>
      </w:tr>
      <w:tr>
        <w:trPr>
          <w:trHeight w:val="12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тенге + 15 процентов с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тенге + 25 процентов с суммы, превышающей чистый доход в размере 250 000 000 тенге</w:t>
            </w:r>
          </w:p>
        </w:tc>
      </w:tr>
      <w:tr>
        <w:trPr>
          <w:trHeight w:val="885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500 000 001 тенге до 1 000 000 000 тенге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тенге + 30 процентов с суммы, превышающей чистый доход в размере 500 000 000 тенге</w:t>
            </w:r>
          </w:p>
        </w:tc>
      </w:tr>
      <w:tr>
        <w:trPr>
          <w:trHeight w:val="1170" w:hRule="atLeast"/>
        </w:trPr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1 000 000 001 тенге и свыше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тенге + 50 процентов с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