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9a2" w14:textId="c12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июня 2014 года № 2/498. Зарегистрировано Департаментом юстиции города Алматы 25 июля 2014 года № 1074. Утратило силу постановлением акимата города Алматы от 7 августа 2015 года № 3/500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07.08.2015 № 3/500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об основном среднем, общем среднем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обучение в форме экстерната в организациях основного среднего,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«Обследование и оказание психолого-медико-педагогической консультативной помощи детям с ограниченными возможностями»;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«Реабилитация и социальная адаптация детей и подростков с проблемами в развитии»;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«Оказание консультативной помощи семьям, воспитывающим детей с ограниченными возможностями».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  А. Есимов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(до 7 лет) для направления в детские дошкольные организации»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«Постановка на очередь детей дошкольного возраста (до 7 лет) для направления в детские дошкольные организации» разработан на основании стандарта государственной услуги «Постановка на очередь детей дошкольного возраста (до 7 лет) для направления в детские дошкольные организации»,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«Постановка на очередь детей дошкольного возраста (до 7 лет) для направления в детские дошкольные организации» (далее - государственная услуга) оказывается коммунальным государственным учреждением «Управление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постановка на очередь, о чем услугополучателю выдается расписка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ПЭП результат оказания государственной услуги направляется в «личный кабинет» в форме электронного документа, подписанного электронной цифровой подписью уполномоченного лица (далее – ЭЦП).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специалистом услугодателя или работником центра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Прием документов и выдача результата оказания государственной услуги осуществляется услугодателем –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9.00 до 18.30 часов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 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после поступления заявления и необходимых документов проводит регистрацию в журнале регистрации оказания государственных услуг услугодателя, ставит на контроль согласно указанного срока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проверки и анализа предоставленных документов специалист услугодателя в региональном шлюзе «электронного правительства» (далее – РШЭП) ставит на очередь ребенка дошкольного возраста (до 7 лет) для направления в детские дошкольные организации, длительность процедуры – 10 минут.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Прием документов и выдача результата оказания государственной услуги осуществляется в центре – с понедельника по субботу включительно с 9.00 часов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сведения о документах, удостоверяющих личность, свидетельстве о рождении ребенка, сведения подтверждающие право на получение первоочередного места в дошкольную организацию, работник центра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данные из информационной системы центра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центра при регистрации и обработке запроса услугополучателя в интегрированной информационной системе центра (диаграмма № 1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  центра в автоматизированном рабочем месте (далее – АРМ) информационной системы центра (далее -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центра государственного услуги, указанной в настоящем Регламенте, вывод на экран формы запроса для оказания государственной услуги и ввод работником 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(далее – ШЭП) в государственной базе данных «Физические лица»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 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государственного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  центра через ШЭП в АРМ регионального шлюза «электронного правительства»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услугодателя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центра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ПЭП (в случае рождения ребенка после 13 августа 2007 года): услугополучателем предоставляется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в форме электронных документов, удостоверенных электронной цифровой подписью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ПЭП услугополучателю в «личный кабинет» направляется уведомление о принятии запроса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№ 2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(далее - ИИН)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авторизации,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услуге,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уполномоченного лица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 организации»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Центр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3566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систем, задействованных в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ПЭП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3566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2197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дубликатов документов об основном среднем,</w:t>
      </w:r>
      <w:r>
        <w:br/>
      </w:r>
      <w:r>
        <w:rPr>
          <w:rFonts w:ascii="Times New Roman"/>
          <w:b/>
          <w:i w:val="false"/>
          <w:color w:val="000000"/>
        </w:rPr>
        <w:t>
общем среднем образовании»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дубликатов документов об основном среднем, общем среднем образовании»  разработан на основании стандарта государственной услуги «Выдача дубликатов документов об основном среднем, общем среднем образовании»,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дубликатов документов об основном среднем, общем среднем образовании» (далее - государственная услуга) оказывается организациями основного среднего и общего среднего образования города Алматы»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работником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работником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Прием документов и выдача результата оказания государственной услуги осуществляется услугодателем – с понедельника по субботу включительно с 9.00 часов до 18.00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 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документы представляются в подлинниках для сверки, после чего подлинники возвращаются услугополучателю,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предоставляет руководителю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согласно резолюции отписывает заявление услугополучателя работнику услугодателя для исполнения, длительность процедуры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 после проверки и анализа представленных документов, вводит запись данные услугополучателя, регистрацию заявления в «Книге выдачи дубликатов документов», подготавливает дубликат свидетельства об основном среднем образовании, дубликат аттестата об общем среднем образовании и передает на подпись руководителю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проверяет введенные данные об услугополучателе и правильность заполнения дубликата свидетельства об основном среднем образовании, дубликата аттестата об общем среднем образовании, после подписывает и ставить печать организации образования,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услугодателя выдает услугополучателю дубликат свидетельства об основном среднем образовании, дубликат аттестата об общем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документов при обращении к услугодателю или в центр – не более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и выдача результата оказания государственной услуги осуществляется в центре – с понедельника по субботу включительно с 9.00 часов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необходимых документов для оказания государственной услуги через центр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работник центра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данные из информационной системы центра с оригиналами документов услугополучателя и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центр,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предоставление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центра при регистрации и обработке запроса услугополучателя в интегрированной информационной системе центра (диаграмма функционального взаимодействия информационных систем, задействованных в оказании государственной услуги, в графической форме)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  центра в автоматизированном рабочем месте (далее – АРМ) информационной системы центра (далее - 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центра государственного услуги, указанной в настоящем Регламенте, вывод на экран формы запроса для оказания государственной услуги и ввод работником 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«электронного правительства» (далее – ШЭП) в государственной базе данных «Физические лица»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данных,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 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государственного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работника центра через ШЭП в АРМ регионального шлюза «электронного правительства»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услугодателя на соответствие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 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  центра результата государственной услуги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центра отказывает в приеме заявления и выдает расписку об отказе в приеме документов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среднем, общем среднем образовании»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4389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дубликатов документов об основном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среднем, общем среднем образовании»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центр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2804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2197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обучение в форме</w:t>
      </w:r>
      <w:r>
        <w:br/>
      </w:r>
      <w:r>
        <w:rPr>
          <w:rFonts w:ascii="Times New Roman"/>
          <w:b/>
          <w:i w:val="false"/>
          <w:color w:val="000000"/>
        </w:rPr>
        <w:t>
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образования» 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разрешения на обучение в форме экстерната в организациях основного среднего, общего среднего образования» разработан на основании стандарта государственной услуги «Выдача разрешения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«Выдача разрешения на обучение в форме экстерната в организациях основного среднего, общего среднего образования» (далее - государственная услуга) оказывается организациями образования города Алматы (далее - услугодатель), реализующими общеобразовательные учебные программы основного среднего, общего среднего образования,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проверка представленных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документы представляются в подлинниках для сверки, после чего подлинники возвращаются услугополучателю,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передает для принятия решения руководителем услугодателя,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принимает решение о разрешении на обучение в форме экстерната в организациях основного среднего, общего среднего образования,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подписания руководителем услугодателя работник услугодателя выдает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отказа в предоставлении государственной услуги является предоставление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обучение в форме экстерната в организациях основного среднего, общего среднего образования – не более 15-ти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услугодателем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услугодателем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часов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Перечень организаций образования города Алматы,</w:t>
      </w:r>
      <w:r>
        <w:br/>
      </w:r>
      <w:r>
        <w:rPr>
          <w:rFonts w:ascii="Times New Roman"/>
          <w:b/>
          <w:i w:val="false"/>
          <w:color w:val="000000"/>
        </w:rPr>
        <w:t>
определенных для получения разрешения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960"/>
        <w:gridCol w:w="2231"/>
        <w:gridCol w:w="2452"/>
        <w:gridCol w:w="3016"/>
        <w:gridCol w:w="1295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телефоны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сайта или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почты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ема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Алатауский район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91» Управления образования города 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Докучаева, 31а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276-33-31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school_91@edualmaty.kz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Алмалинский район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55» Управления образования города 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Ауэзова, 36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375-47-54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school_55@edualmaty.kz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167» Управления образования города 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Тургут Озала, 45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245-65-03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school_167@edualmaty.kz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Ауэзовский район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72» Управления образования города Алматы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Сулейменова, 16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255-40-27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school_72@edualmaty.kz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910"/>
        <w:gridCol w:w="2186"/>
        <w:gridCol w:w="2488"/>
        <w:gridCol w:w="3048"/>
        <w:gridCol w:w="1289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127»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«Таугуль» улица Сулейменова, 64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255-27-55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school_127@edualmaty.kz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район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23»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Сатпаева,3а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264-38-16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school_23@edualmaty.kz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140 имени М.Макатаева»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Туркебаева, 233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376-44-20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school_140@edualmaty.kz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«Общеобразо- вательная школа № 145 имени Аль-Фараби» Управления образования города Алматы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«Орбита-3», дом 5 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255-33-21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school_145@edualmaty.kz ;  school145.os.kz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Жетысуский район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108»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Акпаева, 59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297-95-64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school_108@edualmaty.kz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Медеуский район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19»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Абдуллиных, 11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230-27-24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390-82-43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school_19@edualmaty.kz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159»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Кабанбай батыра, 86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291-40-66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Alm_gimnaz159@mail.ru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Турксибский район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84»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Тельмана, 56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270-39-95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school_84@edualmaty.kz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образования, определенная для получения разрешения на обучение в форме экстерната учащихся с уйгурским языком обучения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«Общеобразовательная школа № 150» Управления образования города Алматы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«Заря Востока», улица Биянху, 87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297-99-93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school_150@edualmaty.kz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Негосударственные организаций образования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колледж непрерывного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улица Желтоксана, 69 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279-43-38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1-го по 5-й день недели с 9.00 час. до 18.00 час.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школа «Зерде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279-43-38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обучение в форме экстерната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52324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«Обследование</w:t>
      </w:r>
      <w:r>
        <w:br/>
      </w:r>
      <w:r>
        <w:rPr>
          <w:rFonts w:ascii="Times New Roman"/>
          <w:b/>
          <w:i w:val="false"/>
          <w:color w:val="000000"/>
        </w:rPr>
        <w:t>
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консультативной помощи детям с</w:t>
      </w:r>
      <w:r>
        <w:br/>
      </w:r>
      <w:r>
        <w:rPr>
          <w:rFonts w:ascii="Times New Roman"/>
          <w:b/>
          <w:i w:val="false"/>
          <w:color w:val="000000"/>
        </w:rPr>
        <w:t>
ограниченными возможностями» 1. Общие положения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«Обследование и оказание психолого-медико-педагогической консультативной помощи детям с ограниченными возможностями» разработан на основании стандарта государственной услуги «Обследование и оказание психолого-медико-педагогической консультативной помощи детям с ограниченными возможностями»,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«Обследование и оказание психолого-медико-педагогической консультативной помощи детям с ограниченными возможностями» (далее - государственная услуга) оказывается коммунальным государственным учреждением «Алматинский городской реабилитационный центр для детей с ограниченными возможностями» Управления образования города Алматы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психолого-медико-педагогическое обследование является письменное заключение. Результатом оказания государственной услуги психолого-медико-педагогическое консультирование является письменная рекомендация.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специалистам психолого-медико-педагогической консультации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письменного заключения и письменной рекомендации специалистами психолого-медико-педагогической консультации услугодателя.</w:t>
      </w:r>
    </w:p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психолого-медико-педагогической консультации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документы представляются в подлинниках для сверки, после чего подлинники возвращаются услугополучателю,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передает специалистам психолого-медико-педагогической консультации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психолого-медико-педагогической консультации услугодателя рассматривают и проверяют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проводят психолого-медико-педагогическое обследование, после выдают услугополучателю письменное заключение, длительность процедуры – не более 15 календарных дней, при проведении психолого-медико-педагогического консультирования  услугополучателю выдают письменную рекомендацию, длительность процедуры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отказа в предоставлении государственной услуги является предоставление услугополучателем неполного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психолого-медико-педагогического обследования – не более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психолого-медико-педагогического консультированию – не более  1 (один)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и выдача результата оказания государственной услуги осуществляется услугодателем – с понедельника по пятницу согласно трудовому законодательству Республики Казахстан, в соответствии установленным графиком работы услугодателя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оказание психолого-медико-педагогической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консультативной помощи детям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ограниченными возможностями»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2324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«Реабилитация и социальная адаптация детей и</w:t>
      </w:r>
      <w:r>
        <w:br/>
      </w:r>
      <w:r>
        <w:rPr>
          <w:rFonts w:ascii="Times New Roman"/>
          <w:b/>
          <w:i w:val="false"/>
          <w:color w:val="000000"/>
        </w:rPr>
        <w:t>
подростков с проблемами в развитии» 1.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«Реабилитация и социальная адаптация детей и подростков с проблемами в развитии» разработан на основании стандарта государственной услуги «Реабилитация и социальная адаптация детей и подростков с проблемами в развитии»,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«Реабилитация и социальная адаптация детей и подростков с проблемами в развитии» (далее - государственная услуга) оказывается коммунальным государственным учреждением «Алматинский городской реабилитационный центр для детей с ограниченными возможностями» Управления образования города Алматы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психолого-медико-педагогической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заключения психолого-медико-педагогической комиссии.</w:t>
      </w:r>
    </w:p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психолого-медико-педагогическая комиссия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документы представляются в подлинниках для сверки, после чего подлинники возвращаются услугополучателю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передает психолого-медико-педагогической комиссии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психолого-медико-педагогическая комиссия услугодателя рассматривает и проверяет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выдает заключение психолого-медико-педагогической комиссии, длительность процедуры –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реабилитацию детей с ограниченными возможностями – от 90 дней до 180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и выдача результата оказания государственной услуги осуществляется услугодателем – с понедельника по пятницу согласно трудовому законодательству Республики Казахстан, в соответствии установленным графиком работы услугодателя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«Реабилитация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социальная адаптация детей 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проблемами в развитии»</w:t>
      </w:r>
    </w:p>
    <w:bookmarkEnd w:id="42"/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2324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727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 № 2/498</w:t>
      </w:r>
    </w:p>
    <w:bookmarkEnd w:id="45"/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«Оказание консультативной помощи семьям, воспитывающим</w:t>
      </w:r>
      <w:r>
        <w:br/>
      </w:r>
      <w:r>
        <w:rPr>
          <w:rFonts w:ascii="Times New Roman"/>
          <w:b/>
          <w:i w:val="false"/>
          <w:color w:val="000000"/>
        </w:rPr>
        <w:t>
детей с ограниченными возможностями» 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«Оказание консультативной помощи семьям, воспитывающим детей с ограниченными возможностями» разработан на основании стандарта государственной услуги «Оказание консультативной помощи семьям, воспитывающим детей с ограниченными возможностями»,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«Оказание консультативной помощи семьям, воспитывающим детей с ограниченными возможностями» (далее - государственная услуга) оказывается коммунальным государственным учреждением «Алматинский городской реабилитационный центр для детей с ограниченными возможностями» Управления образования города Алматы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на рассмотрение специалистам психолого-медико-педагогической консультации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услугополучателю специалистами психолого-медико-педагогической консультации услугодателя письменной рекомендации семье, воспитывающей ребенка с ограниченными возможностями.</w:t>
      </w:r>
    </w:p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 по приему документов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психолого-медико-педагогической консультации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услугодателю,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  документы представляются в подлинниках для сверки, после чего подлинники возвращаются услугополучателю, длительность процедуры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 и передает специалистам психолого-медико-педагогической консультации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психолого-медико-педагогической консультации услугодателя рассматривают и проверяют предоставленные документы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проводят психолого-медико-педагогическое обследование и выдают письменную рекомендацию семье, воспитывающей ребенка с ограниченными возможностями, длительность процедуры –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консультативной помощи семьям, воспитывающим детей с ограниченными возможностями –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и выдача результата оказания государственной услуги осуществляется услугодателем – с понедельника по пятницу согласно трудовому законодательству Республики Казахстан, в соответствии установленным графиком работы услугодателя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и ускоренное обслуживание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консультативной помощи семьям, воспитывающим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с ограниченными возможностями»</w:t>
      </w:r>
    </w:p>
    <w:bookmarkEnd w:id="49"/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2197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 - структурно-функциональная единица: взаимодействие структурных подразделений (работников) услугодателя;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