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8d9f3" w14:textId="878d9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ставках платы за пользование водными ресурсами поверхностных источников на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Северо-Казахстанского областного маслихата от 26 декабря 2014 года N 31/3. Зарегистрировано Департаментом юстиции Северо-Казахстанской области 27 января 2015 года N 3084. Утратило силу в связи с истечением срока действия (письмо руководителя аппарата маслихата Северо-Казахстанской области от 12 января 2016 года N 2.1-11/6)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в связи с истечением срока действия (письмо руководителя аппарата маслихата Северо-Казахстанской области от 12.01.2016 N 2.1-11/6).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487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бюджет" и </w:t>
      </w:r>
      <w:r>
        <w:rPr>
          <w:rFonts w:ascii="Times New Roman"/>
          <w:b w:val="false"/>
          <w:i w:val="false"/>
          <w:color w:val="000000"/>
          <w:sz w:val="28"/>
        </w:rPr>
        <w:t>статьей 38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 Северо-Казахстанский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Установить ставки платы за пользование водными ресурсами поверхностных источников бассейна реки Ишим по Северо-Казахстанской области на 2015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92"/>
        <w:gridCol w:w="2208"/>
      </w:tblGrid>
      <w:tr>
        <w:trPr>
          <w:trHeight w:val="30" w:hRule="atLeast"/>
        </w:trPr>
        <w:tc>
          <w:tcPr>
            <w:tcW w:w="10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XXXI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Мамбетов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Едресов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9"/>
        <w:gridCol w:w="11831"/>
      </w:tblGrid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XXXI сессии Северо-Казахстанского областного маслихата от 26 декабря 2014 года № 31/3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СТАВОК ПЛАТЫ ЗА ПОЛЬЗОВАНИЕ ВОДНЫМИ РЕСУРСАМИ ПОВЕРХНОСТНЫХ ИСТОЧНИКОВ БАССЕЙНА РЕКИ ИШИМ ПО СЕВЕРО-КАЗАХСТАНСКОЙ ОБЛАСТИ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9"/>
        <w:gridCol w:w="1847"/>
        <w:gridCol w:w="2030"/>
        <w:gridCol w:w="1278"/>
        <w:gridCol w:w="2219"/>
        <w:gridCol w:w="1467"/>
        <w:gridCol w:w="2910"/>
      </w:tblGrid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специального водопользования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Базовая ставка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 платы 2014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Коэффициент. инфляции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 платы на 2015год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Гр5*гр6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Жилищно-эксплуатационные и коммунальные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куб.м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102,57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 включая теплоэнергетику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куб.м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265,56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284,15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куб.м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Прудовые хозяйства, осуществляющие забор из водных источников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куб.м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Рыбное хозяйство, потребители производящие лов рыбы на водных источниках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205,12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Гидроэнергетика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кВт.час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т.км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