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902" w14:textId="b24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17 апреля 2014 года N 110. Зарегистрировано Департаментом юстиции Северо-Казахстанской области 15 мая 2014 года N 2776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Аккайынского района Северо-Казахстанской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Аккайынского района Северо-Казахстанской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Аккайынского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17 апреля 2014 года № 110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Аккайынского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Аккайынского района Северо-Казахстанской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Аккайынского района Северо-Казахстанской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0199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автолавок и (или) палаток (павильонов)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Астраханка - улица Мира (возле магазина "Виктория")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Каратомар - на трассе Астана-Петропавловск (на ) напротив улицы Дорожная,17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Каратомар - на трассе Астана-Петропавловск (на ) напротив улицы Дорожная,23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Каратомар - на трассе Астана-Петропавловск (на ) напротив улицы Дорожная,29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ауле Шагалалы – улица Центральная (на площади возле торгового центра товарищества с ограниченной ответственностью "Северо-Казахстанская сельскохозяйственная опытная станция")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Степное – улица Горького (на прилегающей территории магазина товарищества с ограниченной ответственностью "Северо-Казахстанская сельскохозяйственная опытная станция")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Южное – улица Центральная (на прилегающей территории магазина товарищества с ограниченной ответственностью "Северо-Казахстанская сельскохозяйственная опытная станция")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Полтавка – улица Советская (на прилегающей территории магазина "Коктобе")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Власовка – на пересечении улиц Калинина и Пушкина (возле магазина "Виктория")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Ленинское – на пересечении улиц Абая и Целинной (возле магазинов "Астана" и "Орталык")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Трудовое – улица Октябрьская (на прилежащей территории к конторе товарищества с ограниченной ответственностью "Смирновское", напротив улицы Подлесная)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Киялы – улица Горького (площадь между домом культуры и бывшей АТС)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Кучковка – улица Кучковка прилегающая территория здания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Ивановка – на пересечений улиц 9 мая и Интернациональная напротив магазина "Меркурий"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Токуши – улица Новостройка (возле здания конторы товарищества с ограниченной ответственностью "Аккайынское СК" со стороны улицы Парковой)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Камышлово – улица Школьная напротив магазина "Кулинария" индивидуального предпринимателя Каскербаевой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Тюменка – улица Центральная напротив магазина "Кулинария" индивидуального предпринимателя Каскербаевой Р.А.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Рублевка – улица Амандельды (напротив столовой товарищества с ограниченной ответственностью "Черкасское")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Аралагаш - улица Центральная между зданием сельского клуба и здания сельского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Смирново по улице Народная, 42 (возле магазина расположенного по адресу улица Народная, 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