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6bbd5" w14:textId="036bb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района имени Габита Мусрепова от 24 декабря 2013 года № 22-5 "Об утверждении Правил оказания социальной помощи, установления размеров и определения перечня отдельных категорий нуждающихся граждан в районе имени Габита Мусрепова"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имени Габита Мусрепова Северо-Казахстанской области от 25 декабря 2014 года № 32-4. Зарегистрировано Департаментом юстиции Северо-Казахстанской области 28 января 2015 года № 3089. Утратило силу решением маслихата района имени Габита Мусрепова Северо-Казахстанской области от 30 октября 2015 года N 38-7</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маслихата района имени Габита Мусрепова Северо-Казахстанской области от 30.10.2015 </w:t>
      </w:r>
      <w:r>
        <w:rPr>
          <w:rFonts w:ascii="Times New Roman"/>
          <w:b w:val="false"/>
          <w:i w:val="false"/>
          <w:color w:val="ff0000"/>
          <w:sz w:val="28"/>
        </w:rPr>
        <w:t>N 38-7</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24 марта 1998 года "О нормативных правовых актах" маслихат района имени Габита Мусрепова Северо-Казахстанской области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имени Габита Мусрепова Северо-Казахстанской области от 24 декабря 2013 года № 22-5 "Об утверждении Правил оказания социальной помощи, установления размеров и определения перечня отдельных категорий нуждающихся граждан в районе имени Габита Мусрепова" (зарегистрировано в Реестре государственной регистрации нормативных правовых актов под № 2518 от 27 января 2014 года, опубликовано в районных газетах от 10 февраля 2014 года "Есіл өңірі", от 10 февраля 2014 года "Новости Приишимья") в Правила оказания социальной помощи, установления размеров и определения перечня отдельных категорий нуждающихся граждан (далее - Правила) следующие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приложение 1</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приложение 3</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пункт 7</w:t>
      </w:r>
      <w:r>
        <w:rPr>
          <w:rFonts w:ascii="Times New Roman"/>
          <w:b w:val="false"/>
          <w:i w:val="false"/>
          <w:color w:val="000000"/>
          <w:sz w:val="28"/>
        </w:rPr>
        <w:t xml:space="preserve"> Правил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xml:space="preserve">"7.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 устанавливается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Окончательный перечень оснований для отнесения граждан к категории нуждающихся устанавливается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w:t>
      </w:r>
      <w:r>
        <w:br/>
      </w:r>
      <w:r>
        <w:rPr>
          <w:rFonts w:ascii="Times New Roman"/>
          <w:b w:val="false"/>
          <w:i w:val="false"/>
          <w:color w:val="000000"/>
          <w:sz w:val="28"/>
        </w:rPr>
        <w:t>
      </w:t>
      </w:r>
      <w:r>
        <w:rPr>
          <w:rFonts w:ascii="Times New Roman"/>
          <w:b w:val="false"/>
          <w:i w:val="false"/>
          <w:color w:val="000000"/>
          <w:sz w:val="28"/>
        </w:rPr>
        <w:t>2. Настоящие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2015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Председатель ХХХІІ сессии </w:t>
            </w:r>
            <w:r>
              <w:br/>
            </w:r>
            <w:r>
              <w:rPr>
                <w:rFonts w:ascii="Times New Roman"/>
                <w:b w:val="false"/>
                <w:i/>
                <w:color w:val="000000"/>
                <w:sz w:val="20"/>
              </w:rPr>
              <w:t xml:space="preserve">маслихата района </w:t>
            </w:r>
            <w:r>
              <w:br/>
            </w:r>
            <w:r>
              <w:rPr>
                <w:rFonts w:ascii="Times New Roman"/>
                <w:b w:val="false"/>
                <w:i/>
                <w:color w:val="000000"/>
                <w:sz w:val="20"/>
              </w:rPr>
              <w:t>имени Габита Мусрепова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Мукушев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Cекретарь маслихата</w:t>
            </w:r>
            <w:r>
              <w:br/>
            </w:r>
            <w:r>
              <w:rPr>
                <w:rFonts w:ascii="Times New Roman"/>
                <w:b w:val="false"/>
                <w:i/>
                <w:color w:val="000000"/>
                <w:sz w:val="20"/>
              </w:rPr>
              <w:t xml:space="preserve">района имени </w:t>
            </w:r>
            <w:r>
              <w:br/>
            </w:r>
            <w:r>
              <w:rPr>
                <w:rFonts w:ascii="Times New Roman"/>
                <w:b w:val="false"/>
                <w:i/>
                <w:color w:val="000000"/>
                <w:sz w:val="20"/>
              </w:rPr>
              <w:t>Габита Мусрепова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Искакова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rPr>
                <w:rFonts w:ascii="Times New Roman"/>
                <w:b w:val="false"/>
                <w:i/>
                <w:color w:val="000000"/>
                <w:sz w:val="20"/>
              </w:rPr>
              <w:t xml:space="preserve"> </w:t>
            </w:r>
            <w:r>
              <w:br/>
            </w:r>
            <w:r>
              <w:rPr>
                <w:rFonts w:ascii="Times New Roman"/>
                <w:b w:val="false"/>
                <w:i/>
                <w:color w:val="000000"/>
                <w:sz w:val="20"/>
              </w:rPr>
              <w:t>Аким</w:t>
            </w:r>
            <w:r>
              <w:br/>
            </w:r>
            <w:r>
              <w:rPr>
                <w:rFonts w:ascii="Times New Roman"/>
                <w:b w:val="false"/>
                <w:i/>
                <w:color w:val="000000"/>
                <w:sz w:val="20"/>
              </w:rPr>
              <w:t>Северо-Казахстанской области</w:t>
            </w:r>
            <w:r>
              <w:br/>
            </w:r>
            <w:r>
              <w:rPr>
                <w:rFonts w:ascii="Times New Roman"/>
                <w:b w:val="false"/>
                <w:i/>
                <w:color w:val="000000"/>
                <w:sz w:val="20"/>
              </w:rPr>
              <w:t>25 декабря 2014 года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Султанов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района имени Габита Мусрепова Северо-Казахстанской области от 25 декабря 2014 года № 32-4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w:t>
            </w:r>
          </w:p>
        </w:tc>
      </w:tr>
    </w:tbl>
    <w:bookmarkStart w:name="z20" w:id="0"/>
    <w:p>
      <w:pPr>
        <w:spacing w:after="0"/>
        <w:ind w:left="0"/>
        <w:jc w:val="left"/>
      </w:pPr>
      <w:r>
        <w:rPr>
          <w:rFonts w:ascii="Times New Roman"/>
          <w:b/>
          <w:i w:val="false"/>
          <w:color w:val="000000"/>
        </w:rPr>
        <w:t xml:space="preserve"> Перечень памятных дат и праздничных дней для оказания социальной помощи, кратность и размер социальной помощи для отдельно взятой категории получателей к памятным датам и праздничным дням</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10522"/>
        <w:gridCol w:w="1412"/>
      </w:tblGrid>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Категории получателей</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Размер социальной помощи (месячный расчетный показатель)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вывода войск с территории Афганистана – 15 февраля</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ставшие инвалидами вследствие ранения, контузии, увечья, полученные при защите бывшего Союза ССР, при исполнении иных обязанностей военной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Рабочие и служащие соответствующих категорий, обслуживавшие действующие воинские контингенты в других странах и ставшие инвалидами вследствие ранения, контузии, увечья либо заболеваний, полученных в период ведения боевых действий. </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(пропавших без вести) или умерших вследствие ранения, контузии, увечья, заболеваний,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Международный женский день – 8 марта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Многодетные матери, награжденные подвесками "Алтын алка", "Күміс алка", орденами "Материнская Слава" I и II степени или ранее получившие звание "Мать-Героиня".</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аварии на Чернобыльской атомной электростанций – 26 апреля</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Победы – 9 мая</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(за исключением 9 мая 2015 года)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 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(за исключением 9 мая 2015 года)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Победы – 9 мая 2015 года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защитника Отечества – 7 мая</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(умерших) при прохождении воинской службы в мирное время.</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жертв политических репрессий – 31 мая</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непосредственно подвергавшиеся политическим репрессиям на территории бывшего Союза ССР и в настоящее время являющихся гражданами Республики Казахстан.</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Дети жертв политических репрессий, находившиеся вместе с родителями или заменившими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репрессий и в результате ее применения оставшиеся без родительского попечения.</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Конституции Республики Казахстан – 30 августа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маслихата района имени Габита Мусрепова Северо-Казахстанской области от 25 декабря 2014 года № 32-4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оказания социальной помощи, установления размеров и определения перечня отдельных категорий нуждающихся граждан</w:t>
            </w:r>
          </w:p>
        </w:tc>
      </w:tr>
    </w:tbl>
    <w:bookmarkStart w:name="z64" w:id="1"/>
    <w:p>
      <w:pPr>
        <w:spacing w:after="0"/>
        <w:ind w:left="0"/>
        <w:jc w:val="left"/>
      </w:pPr>
      <w:r>
        <w:rPr>
          <w:rFonts w:ascii="Times New Roman"/>
          <w:b/>
          <w:i w:val="false"/>
          <w:color w:val="000000"/>
        </w:rPr>
        <w:t xml:space="preserve"> Окончательный перечень оснований для отнесения граждан к категории нуждающихся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сиротство;</w:t>
      </w:r>
      <w:r>
        <w:br/>
      </w:r>
      <w:r>
        <w:rPr>
          <w:rFonts w:ascii="Times New Roman"/>
          <w:b w:val="false"/>
          <w:i w:val="false"/>
          <w:color w:val="000000"/>
          <w:sz w:val="28"/>
        </w:rPr>
        <w:t>
      </w:t>
      </w:r>
      <w:r>
        <w:rPr>
          <w:rFonts w:ascii="Times New Roman"/>
          <w:b w:val="false"/>
          <w:i w:val="false"/>
          <w:color w:val="000000"/>
          <w:sz w:val="28"/>
        </w:rPr>
        <w:t>2) отсутствие родительского попечения;</w:t>
      </w:r>
      <w:r>
        <w:br/>
      </w:r>
      <w:r>
        <w:rPr>
          <w:rFonts w:ascii="Times New Roman"/>
          <w:b w:val="false"/>
          <w:i w:val="false"/>
          <w:color w:val="000000"/>
          <w:sz w:val="28"/>
        </w:rPr>
        <w:t>
      </w:t>
      </w:r>
      <w:r>
        <w:rPr>
          <w:rFonts w:ascii="Times New Roman"/>
          <w:b w:val="false"/>
          <w:i w:val="false"/>
          <w:color w:val="000000"/>
          <w:sz w:val="28"/>
        </w:rPr>
        <w:t>3) безнадзорность несовершеннолетних, в том числе с девиантным поведением;</w:t>
      </w:r>
      <w:r>
        <w:br/>
      </w:r>
      <w:r>
        <w:rPr>
          <w:rFonts w:ascii="Times New Roman"/>
          <w:b w:val="false"/>
          <w:i w:val="false"/>
          <w:color w:val="000000"/>
          <w:sz w:val="28"/>
        </w:rPr>
        <w:t>
      </w:t>
      </w:r>
      <w:r>
        <w:rPr>
          <w:rFonts w:ascii="Times New Roman"/>
          <w:b w:val="false"/>
          <w:i w:val="false"/>
          <w:color w:val="000000"/>
          <w:sz w:val="28"/>
        </w:rPr>
        <w:t>4) ограничение возможностей раннего психофизического развития детей от рождения до трех лет;</w:t>
      </w:r>
      <w:r>
        <w:br/>
      </w:r>
      <w:r>
        <w:rPr>
          <w:rFonts w:ascii="Times New Roman"/>
          <w:b w:val="false"/>
          <w:i w:val="false"/>
          <w:color w:val="000000"/>
          <w:sz w:val="28"/>
        </w:rPr>
        <w:t>
      </w:t>
      </w:r>
      <w:r>
        <w:rPr>
          <w:rFonts w:ascii="Times New Roman"/>
          <w:b w:val="false"/>
          <w:i w:val="false"/>
          <w:color w:val="000000"/>
          <w:sz w:val="28"/>
        </w:rPr>
        <w:t>5) стойкие нарушения функций организма, обусловленные физическими и (или) умственными возможностями;</w:t>
      </w:r>
      <w:r>
        <w:br/>
      </w:r>
      <w:r>
        <w:rPr>
          <w:rFonts w:ascii="Times New Roman"/>
          <w:b w:val="false"/>
          <w:i w:val="false"/>
          <w:color w:val="000000"/>
          <w:sz w:val="28"/>
        </w:rPr>
        <w:t>
      </w:t>
      </w:r>
      <w:r>
        <w:rPr>
          <w:rFonts w:ascii="Times New Roman"/>
          <w:b w:val="false"/>
          <w:i w:val="false"/>
          <w:color w:val="000000"/>
          <w:sz w:val="28"/>
        </w:rPr>
        <w:t>6) ограничение жизнедеятельности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8"/>
        </w:rPr>
        <w:t>
      </w:t>
      </w:r>
      <w:r>
        <w:rPr>
          <w:rFonts w:ascii="Times New Roman"/>
          <w:b w:val="false"/>
          <w:i w:val="false"/>
          <w:color w:val="000000"/>
          <w:sz w:val="28"/>
        </w:rPr>
        <w:t>7) неспособность к самообслуживанию в связи с преклонным возрастом, вследствие перенесенной болезни и (или) инвалидности;</w:t>
      </w:r>
      <w:r>
        <w:br/>
      </w:r>
      <w:r>
        <w:rPr>
          <w:rFonts w:ascii="Times New Roman"/>
          <w:b w:val="false"/>
          <w:i w:val="false"/>
          <w:color w:val="000000"/>
          <w:sz w:val="28"/>
        </w:rPr>
        <w:t>
      </w:t>
      </w:r>
      <w:r>
        <w:rPr>
          <w:rFonts w:ascii="Times New Roman"/>
          <w:b w:val="false"/>
          <w:i w:val="false"/>
          <w:color w:val="000000"/>
          <w:sz w:val="28"/>
        </w:rPr>
        <w:t>8) жестокое обращение, приведшее к социальной дезадаптации и социальной депривации;</w:t>
      </w:r>
      <w:r>
        <w:br/>
      </w:r>
      <w:r>
        <w:rPr>
          <w:rFonts w:ascii="Times New Roman"/>
          <w:b w:val="false"/>
          <w:i w:val="false"/>
          <w:color w:val="000000"/>
          <w:sz w:val="28"/>
        </w:rPr>
        <w:t>
      </w:t>
      </w:r>
      <w:r>
        <w:rPr>
          <w:rFonts w:ascii="Times New Roman"/>
          <w:b w:val="false"/>
          <w:i w:val="false"/>
          <w:color w:val="000000"/>
          <w:sz w:val="28"/>
        </w:rPr>
        <w:t>9) бездомность (лица без определенного места жительства);</w:t>
      </w:r>
      <w:r>
        <w:br/>
      </w:r>
      <w:r>
        <w:rPr>
          <w:rFonts w:ascii="Times New Roman"/>
          <w:b w:val="false"/>
          <w:i w:val="false"/>
          <w:color w:val="000000"/>
          <w:sz w:val="28"/>
        </w:rPr>
        <w:t>
      </w:t>
      </w:r>
      <w:r>
        <w:rPr>
          <w:rFonts w:ascii="Times New Roman"/>
          <w:b w:val="false"/>
          <w:i w:val="false"/>
          <w:color w:val="000000"/>
          <w:sz w:val="28"/>
        </w:rPr>
        <w:t>10) освобождение из мест лишения свободы;</w:t>
      </w:r>
      <w:r>
        <w:br/>
      </w:r>
      <w:r>
        <w:rPr>
          <w:rFonts w:ascii="Times New Roman"/>
          <w:b w:val="false"/>
          <w:i w:val="false"/>
          <w:color w:val="000000"/>
          <w:sz w:val="28"/>
        </w:rPr>
        <w:t>
      </w:t>
      </w:r>
      <w:r>
        <w:rPr>
          <w:rFonts w:ascii="Times New Roman"/>
          <w:b w:val="false"/>
          <w:i w:val="false"/>
          <w:color w:val="000000"/>
          <w:sz w:val="28"/>
        </w:rPr>
        <w:t>11) нахождение на учете службы пробации уголовно-исполнительной инспекции;</w:t>
      </w:r>
      <w:r>
        <w:br/>
      </w:r>
      <w:r>
        <w:rPr>
          <w:rFonts w:ascii="Times New Roman"/>
          <w:b w:val="false"/>
          <w:i w:val="false"/>
          <w:color w:val="000000"/>
          <w:sz w:val="28"/>
        </w:rPr>
        <w:t>
      </w:t>
      </w:r>
      <w:r>
        <w:rPr>
          <w:rFonts w:ascii="Times New Roman"/>
          <w:b w:val="false"/>
          <w:i w:val="false"/>
          <w:color w:val="000000"/>
          <w:sz w:val="28"/>
        </w:rPr>
        <w:t>12) причинение ущерба гражданину (семье) либо его имуществу вследствие стихийного бедствия или пожара, либо наличие социально значимого заболевания (злокачественное новообразование, тяжелая форма туберкулеза, дети-инвалиды);</w:t>
      </w:r>
      <w:r>
        <w:br/>
      </w:r>
      <w:r>
        <w:rPr>
          <w:rFonts w:ascii="Times New Roman"/>
          <w:b w:val="false"/>
          <w:i w:val="false"/>
          <w:color w:val="000000"/>
          <w:sz w:val="28"/>
        </w:rPr>
        <w:t>
      </w:t>
      </w:r>
      <w:r>
        <w:rPr>
          <w:rFonts w:ascii="Times New Roman"/>
          <w:b w:val="false"/>
          <w:i w:val="false"/>
          <w:color w:val="000000"/>
          <w:sz w:val="28"/>
        </w:rPr>
        <w:t>13) наличие среднедушевого дохода, не превышающего 1,0 прожиточного минимума, установленного маслихатом района имени Габита Мусрепова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14) нуждаемость участников и инвалидов Великой Отечественной войны в зубопротезировании (без учета доходов в размере стоимости согласно представленному счету-фактуре, кроме драгоценных металлов и протезов из металлокерамики, металлоакрилла, не более одного раза в 2 года);</w:t>
      </w:r>
      <w:r>
        <w:br/>
      </w:r>
      <w:r>
        <w:rPr>
          <w:rFonts w:ascii="Times New Roman"/>
          <w:b w:val="false"/>
          <w:i w:val="false"/>
          <w:color w:val="000000"/>
          <w:sz w:val="28"/>
        </w:rPr>
        <w:t>
      </w:t>
      </w:r>
      <w:r>
        <w:rPr>
          <w:rFonts w:ascii="Times New Roman"/>
          <w:b w:val="false"/>
          <w:i w:val="false"/>
          <w:color w:val="000000"/>
          <w:sz w:val="28"/>
        </w:rPr>
        <w:t>15) нуждаемость участников и инвалидов Великой Отечественной войны в санаторно-курортном лечении (без учета доходов в размере стоимости санаторно-курортного лечения в санаториях, профилакториях Республики Казахстан, один раз год);</w:t>
      </w:r>
      <w:r>
        <w:br/>
      </w:r>
      <w:r>
        <w:rPr>
          <w:rFonts w:ascii="Times New Roman"/>
          <w:b w:val="false"/>
          <w:i w:val="false"/>
          <w:color w:val="000000"/>
          <w:sz w:val="28"/>
        </w:rPr>
        <w:t>
      </w:t>
      </w:r>
      <w:r>
        <w:rPr>
          <w:rFonts w:ascii="Times New Roman"/>
          <w:b w:val="false"/>
          <w:i w:val="false"/>
          <w:color w:val="000000"/>
          <w:sz w:val="28"/>
        </w:rPr>
        <w:t>16) нуждаемость участников и инвалидов Великой Отечественной войны в ежемесячной компенсации за оплату коммунальных услуг и приобретение топлива в размере 2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17) нуждаемость лиц больных активной формой туберкулеза в ежеквартальной помощи (без учета доходов в размере 5 месячных расчетных показателей по предъявлению справки из учреждения здравоохранения).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