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02a5b" w14:textId="7802a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10 июля 2014 года № 201. Зарегистрировано Департаментом юстиции Северо-Казахстанской области 8 августа 2014 года № 2899. Утратило силу постановлением акимата Есильского района Северо-Казахстанской области от 9 февраля 2015 года N 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Есильского района Северо-Казахстанской области от 09.02.2015 N 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от 1 марта 2011 года «О государственном имуществе»,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 «Об утверждении Правил передачи государственного имущества в имущественный наем (аренду)», акимат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районного коммунального имущества в имущественный наем (аренду)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Есильского района Северо-Казахстанской области Едресова Каната Каирлиновича.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Есильского района Северо-Казахстанской области от 10 июля 2014 года № 201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расчета ставки арендной платы при передаче</w:t>
      </w:r>
      <w:r>
        <w:rPr>
          <w:rFonts w:ascii="Times New Roman"/>
          <w:b/>
          <w:i w:val="false"/>
          <w:color w:val="000000"/>
        </w:rPr>
        <w:t xml:space="preserve"> районного коммунального имущества в имущественный наем (аренду)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Настоящий расчет ставки арендной платы при передаче районного коммунального имущества в имущественный наем (аренду) (далее – Расчет)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88, и определяет порядок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районных коммунальных юридических лиц определяется на основании базовых ставок и размеров применяемых коэффициентов, учитывающих тип строения, вид нежилого фонда, степень комфортности, территориальное расположение, вид деятельности нанимателя, организационно-правовую форму нанимателя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Ап = Рбс х S х Кт х Кк х Кск х Кр х Квд х Копф,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– ставка арендной платы за 1 квадратный метр в год объектов государственного нежилого фонда, находящихся на балансе районных коммунальных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S –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Базовая ставка и размеры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7991"/>
        <w:gridCol w:w="3757"/>
      </w:tblGrid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базовой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месячного расчетного показателя, установленного Законом Республики Казахстан о республиканском бюджете на соответствующий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офисное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производственное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спортивные сооружения (стадионы, спортивные залы)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фонда (Кк)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отдельно стоящее 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встроено-пристроенная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 помещение в 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Коэффициент, учитывающий степень комфортности (Кск)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устройствами (электрическая энергия, канализация, водоснабжение, отопление) при отсутствии каких-либо видов коммуникаций уменьшается на 0,1 за каждый отсутствующий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для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для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 для коммуникационных услуг, в том числе услуг связи, автоматизированных телефонных станций, почты, расчетно-кассовых центров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обменных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5.4 для организации тренажерных залов, фитнес - клубов, станции технического обслуживания, мастерских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общественного питания, гостиничных услуг, торговой или торгово-посреднической деятельности, аптек и аптечных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общественного питания в учебных заведениях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оказания услуг в области образования (внешкольная, кружковая деятельность для учащихся, компьютерные классы), физической культуры и спорта для детей и юношества, здравоохранения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для производственной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5.9 для помещения под гаражи, склады, камеры 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5.10 для 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индивидуальных предпринимателей для организации производственной деятельности и развития сферы услуг населению, за исключением торгово-посреднической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для структур с частной формой собственности (акционерные общества, товарищества с ограниченной ответственностью)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 для общественных организаций и объединений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 для остальных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Расчет арендной платы за имущественный наем (аренду) автотранспортных средств, оборудования районной коммунальной собственности, за исключением объектов государственного нежилого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Годовая арендная плата за имущественный наем (аренду) автотранспортных средств, оборудования районной коммунальной собственности, за исключением объектов государственного нежилого фонда определяется: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vertAlign w:val="subscript"/>
        </w:rPr>
        <w:t>р</w:t>
      </w:r>
      <w:r>
        <w:rPr>
          <w:rFonts w:ascii="Times New Roman"/>
          <w:b w:val="false"/>
          <w:i w:val="false"/>
          <w:color w:val="000000"/>
          <w:sz w:val="28"/>
        </w:rPr>
        <w:t xml:space="preserve"> = С х К1 х К2,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 А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р </w:t>
      </w:r>
      <w:r>
        <w:rPr>
          <w:rFonts w:ascii="Times New Roman"/>
          <w:b w:val="false"/>
          <w:i w:val="false"/>
          <w:color w:val="000000"/>
          <w:sz w:val="28"/>
        </w:rPr>
        <w:t>– ставка арендной платы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 – базовая ставка аренды в год, принимаемая равной С = (Sбал. х N аморт.),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 S бал. – первоначальная стоимость сдаваемого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 аморт. – годовая норма износа, определяется на основании предельных норм амортизации фиксированных активов согласно Налоговому кодексу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К1 - коэффициент, учитывающий срок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К2- коэффициент, учитывающий условия эксплуатации.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9"/>
        <w:gridCol w:w="7615"/>
        <w:gridCol w:w="3116"/>
      </w:tblGrid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срок эксплуатации К1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автотранспортные средства;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 эксплуатации от 1 года до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свыше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 эксплуатации от 1 года до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свыше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условия эксплуатации К2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автотранспортные средства, оборудование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 эксплуатации на территории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на остальной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>В случае отсутствия коэффициента в таблице, принимается коэффициент равный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