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7c98" w14:textId="4787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Кызылжарского районного маслихата Северо-Казахстанской области от 31 января 2014 года № 23/2 "Об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19 декабря 2014 года № 35/9. Зарегистрировано Департаментом юстиции Северо-Казахстанской области 22 января 2015 года № 3075. Утратило силу решением маслихата Кызылжарского района Северо-Казахстанской области от 27 мая 2016 года N 4/3</w:t>
      </w:r>
    </w:p>
    <w:p>
      <w:pPr>
        <w:spacing w:after="0"/>
        <w:ind w:left="0"/>
        <w:jc w:val="left"/>
      </w:pPr>
      <w:r>
        <w:rPr>
          <w:rFonts w:ascii="Times New Roman"/>
          <w:b w:val="false"/>
          <w:i w:val="false"/>
          <w:color w:val="ff0000"/>
          <w:sz w:val="28"/>
        </w:rPr>
        <w:t xml:space="preserve">      Сноска. Утратило силу решением маслихата Кызылжарского района Северо-Казахстанской области от 27.05.2016 </w:t>
      </w:r>
      <w:r>
        <w:rPr>
          <w:rFonts w:ascii="Times New Roman"/>
          <w:b w:val="false"/>
          <w:i w:val="false"/>
          <w:color w:val="ff0000"/>
          <w:sz w:val="28"/>
        </w:rPr>
        <w:t>N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Кызылжарский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от 31 января 2014 года № 23/2 "Об утверждении Правил оказания социальной помощи, установления размеров и определения перечня отдельных категорий нуждающихся граждан в Кызылжарском районе" (зарегистрировано в Реестре государственной регистрации нормативных правовых актов под № 2575 27 февраля 2014 года, опубликовано от 7 марта 2014 года в газетах "Қызылжар", "Маяк")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Кызылжарском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распространяются на правоотношения, возникшие с 1 января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br/>
            </w:r>
            <w:r>
              <w:rPr>
                <w:rFonts w:ascii="Times New Roman"/>
                <w:b w:val="false"/>
                <w:i/>
                <w:color w:val="000000"/>
                <w:sz w:val="20"/>
              </w:rPr>
              <w:t>Кызылжарского районного</w:t>
            </w:r>
            <w:r>
              <w:br/>
            </w:r>
            <w:r>
              <w:rPr>
                <w:rFonts w:ascii="Times New Roman"/>
                <w:b w:val="false"/>
                <w:i/>
                <w:color w:val="000000"/>
                <w:sz w:val="20"/>
              </w:rPr>
              <w:t>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Маслова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Кызылжарского </w:t>
            </w:r>
            <w:r>
              <w:br/>
            </w:r>
            <w:r>
              <w:rPr>
                <w:rFonts w:ascii="Times New Roman"/>
                <w:b w:val="false"/>
                <w:i/>
                <w:color w:val="000000"/>
                <w:sz w:val="20"/>
              </w:rPr>
              <w:t>районного маслихата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26 декабря 2014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Кызылжарского районного маслихата Северо-Казахстанской области от 19 декабря 2014 года № 35/9</w:t>
            </w:r>
          </w:p>
        </w:tc>
      </w:tr>
    </w:tbl>
    <w:bookmarkStart w:name="z14"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Кызылжарском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в Кызылжарском районе, при наступлении трудной жизненной ситуации.</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 – 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4) праздничные дни – дни национальных и государственных праздников Республики Казахстан; </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"Кызылжарский районный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постоянно проживающих на территории Кызылжарского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Кызылжарского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для оказания социальной помощи, а также размер и кратность оказания социальной помощи устанавливаются местными представительными органами по представлению местного исполнительного органа,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Утвердить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лица (семьи) не превышающего 20% от областного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при наступлении трудной жизненной ситуации определен в </w:t>
      </w:r>
      <w:r>
        <w:rPr>
          <w:rFonts w:ascii="Times New Roman"/>
          <w:b w:val="false"/>
          <w:i w:val="false"/>
          <w:color w:val="000000"/>
          <w:sz w:val="28"/>
        </w:rPr>
        <w:t>приложении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Социальные выплаты осуществлять по бюджетной программе 451-007-000 "Социальная помощь отдельным категориям нуждающихся граждан по решениям местных представительных органов", в пределах выделенных бюджетных средств путем перечисления денежных средств на лицевой счет получателя социальной помощи через банки второго уровня или Акционерного общества "Казпочта".</w:t>
      </w:r>
      <w:r>
        <w:br/>
      </w:r>
      <w:r>
        <w:rPr>
          <w:rFonts w:ascii="Times New Roman"/>
          <w:b w:val="false"/>
          <w:i w:val="false"/>
          <w:color w:val="000000"/>
          <w:sz w:val="28"/>
        </w:rPr>
        <w:t>
      </w:t>
      </w:r>
      <w:r>
        <w:rPr>
          <w:rFonts w:ascii="Times New Roman"/>
          <w:b w:val="false"/>
          <w:i w:val="false"/>
          <w:color w:val="000000"/>
          <w:sz w:val="28"/>
        </w:rPr>
        <w:t>11.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12.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Социальная помощь к памятным датам и праздничным дням оказывается по списку, утверждаемому акиматом Кызылжарского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14.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xml:space="preserve">2) документ, подтверждающий регистрацию по месту жительства (адресная справка); </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Социальная помощь оказывается 1 раз в год по любому из установленных оснований (на выбор заявителя). Запрещается выплата социальной помощи одному заявителю по различным основаниям в течение одного года.</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Кызылжарского района Северо – Казахстанской области;</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выявление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26.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bookmarkStart w:name="z78" w:id="6"/>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размер и кратность оказания социальной помощи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3"/>
        <w:gridCol w:w="10339"/>
        <w:gridCol w:w="1603"/>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памятных дат и праздничных дней</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социальной помощи в месячных расчетных показателях, кратность оказания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территории Афганистана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1 раз в год</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1 раз в год</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1 раз в год</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xml:space="preserve">
(за исключением 9 мая </w:t>
            </w:r>
            <w:r>
              <w:br/>
            </w:r>
            <w:r>
              <w:rPr>
                <w:rFonts w:ascii="Times New Roman"/>
                <w:b w:val="false"/>
                <w:i w:val="false"/>
                <w:color w:val="000000"/>
                <w:sz w:val="20"/>
              </w:rPr>
              <w:t xml:space="preserve">
2015 года),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(за исключением 9 мая 2015 года)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 День защитника Отечества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10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xml:space="preserve">
1 раз в год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bookmarkStart w:name="z123" w:id="7"/>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548"/>
        <w:gridCol w:w="1656"/>
        <w:gridCol w:w="1169"/>
        <w:gridCol w:w="1897"/>
        <w:gridCol w:w="925"/>
        <w:gridCol w:w="3395"/>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получателей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Кратное отношение среднедушевого дохода к прожиточному минимуму</w:t>
            </w: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оказания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(граждане) пострадавшие вследствие стихийного бедствия или пожара</w:t>
            </w: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доходов</w:t>
            </w: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связи с чрезвычайной ситуацией</w:t>
            </w:r>
            <w:r>
              <w:br/>
            </w:r>
            <w:r>
              <w:rPr>
                <w:rFonts w:ascii="Times New Roman"/>
                <w:b w:val="false"/>
                <w:i w:val="false"/>
                <w:color w:val="000000"/>
                <w:sz w:val="20"/>
              </w:rPr>
              <w:t>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Единовременно</w:t>
            </w:r>
            <w:r>
              <w:br/>
            </w:r>
            <w:r>
              <w:rPr>
                <w:rFonts w:ascii="Times New Roman"/>
                <w:b w:val="false"/>
                <w:i w:val="false"/>
                <w:color w:val="000000"/>
                <w:sz w:val="20"/>
              </w:rPr>
              <w:t>
 </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j Не позднее 6 месяцев со дня наступления трудной жизненной ситуации</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bookmarkStart w:name="z127" w:id="8"/>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при наступлении трудной жизненной ситуации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 (с 1 января 2015 года);</w:t>
      </w:r>
      <w:r>
        <w:br/>
      </w:r>
      <w:r>
        <w:rPr>
          <w:rFonts w:ascii="Times New Roman"/>
          <w:b w:val="false"/>
          <w:i w:val="false"/>
          <w:color w:val="000000"/>
          <w:sz w:val="28"/>
        </w:rPr>
        <w:t>
      </w:t>
      </w:r>
      <w:r>
        <w:rPr>
          <w:rFonts w:ascii="Times New Roman"/>
          <w:b w:val="false"/>
          <w:i w:val="false"/>
          <w:color w:val="000000"/>
          <w:sz w:val="28"/>
        </w:rPr>
        <w:t xml:space="preserve">13) наличие среднедушевого дохода, не превышающего 20% от областного прожиточного минимума; </w:t>
      </w:r>
      <w:r>
        <w:br/>
      </w:r>
      <w:r>
        <w:rPr>
          <w:rFonts w:ascii="Times New Roman"/>
          <w:b w:val="false"/>
          <w:i w:val="false"/>
          <w:color w:val="000000"/>
          <w:sz w:val="28"/>
        </w:rPr>
        <w:t>
      </w:t>
      </w:r>
      <w:r>
        <w:rPr>
          <w:rFonts w:ascii="Times New Roman"/>
          <w:b w:val="false"/>
          <w:i w:val="false"/>
          <w:color w:val="000000"/>
          <w:sz w:val="28"/>
        </w:rPr>
        <w:t>14)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на зубопротезирование без учета дохода в размере стоимости согласно предоставленной счет – фактуре (кроме драгоценных металлов и протезов из металлокерамики, металлоакрила) не более одного раза в два года;</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а также лиц, приравненным по льготам и гарантиям к участникам и инвалидам Великой Отечественной войны, в санаторно-курортном лечении без учета дохода в размере стоимости санаторно-курортного лечения в санаториях и профилакториях Республики Казахстан, один раз в год;</w:t>
      </w:r>
      <w:r>
        <w:br/>
      </w:r>
      <w:r>
        <w:rPr>
          <w:rFonts w:ascii="Times New Roman"/>
          <w:b w:val="false"/>
          <w:i w:val="false"/>
          <w:color w:val="000000"/>
          <w:sz w:val="28"/>
        </w:rPr>
        <w:t>
      </w:t>
      </w:r>
      <w:r>
        <w:rPr>
          <w:rFonts w:ascii="Times New Roman"/>
          <w:b w:val="false"/>
          <w:i w:val="false"/>
          <w:color w:val="000000"/>
          <w:sz w:val="28"/>
        </w:rPr>
        <w:t xml:space="preserve">17) нуждаемость участников и инвалидов Великой Отечественной войны и лиц, приравненных к ним, других категорий лиц, приравненных по льготам и гарантиям к участникам и инвалидам войны, а также лиц, пострадавших в зоне Семипалатинского ядерного полигона на проезд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 в возмещении расходов на проезд к месту госпитализации и обратно, 1 раз в год, не позднее 6 месяцев со дня наступления трудной жизненной ситуации; </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в возмещении расходов на коммунальные услуги в размере 2 (два) месячных расчетных показателя ежемесячно;</w:t>
      </w:r>
      <w:r>
        <w:br/>
      </w:r>
      <w:r>
        <w:rPr>
          <w:rFonts w:ascii="Times New Roman"/>
          <w:b w:val="false"/>
          <w:i w:val="false"/>
          <w:color w:val="000000"/>
          <w:sz w:val="28"/>
        </w:rPr>
        <w:t>
      </w:t>
      </w:r>
      <w:r>
        <w:rPr>
          <w:rFonts w:ascii="Times New Roman"/>
          <w:b w:val="false"/>
          <w:i w:val="false"/>
          <w:color w:val="000000"/>
          <w:sz w:val="28"/>
        </w:rPr>
        <w:t>19) Наличие у гражданина активной формы туберкулеза, на дополнительное питание, без учета доходов, в размере 5 месячных расчетных показателей в квартал, не позднее 6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20) нуждаемость граждан, отнесенных к категории нуждающихся, при наступлении трудной жизненной ситуации по пунктам 1-13 согласно </w:t>
      </w:r>
      <w:r>
        <w:rPr>
          <w:rFonts w:ascii="Times New Roman"/>
          <w:b w:val="false"/>
          <w:i w:val="false"/>
          <w:color w:val="000000"/>
          <w:sz w:val="28"/>
        </w:rPr>
        <w:t>приложения 3</w:t>
      </w:r>
      <w:r>
        <w:rPr>
          <w:rFonts w:ascii="Times New Roman"/>
          <w:b w:val="false"/>
          <w:i w:val="false"/>
          <w:color w:val="000000"/>
          <w:sz w:val="28"/>
        </w:rPr>
        <w:t xml:space="preserve"> настоящих Правил, при наличии среднедушевого дохода, не превышающего 20% от областного прожиточного минимума, 5 (пять) месячных расчетных показателей один раз в год, не позднее 6 месяцев со дня наступления трудной жизненной ситуации.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p>
      <w:pPr>
        <w:spacing w:after="0"/>
        <w:ind w:left="0"/>
        <w:jc w:val="left"/>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(Ф.И.О. заявителя) (домашний адрес,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органа, уполномоченного заверять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 (подпись)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bookmarkStart w:name="z168" w:id="9"/>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bookmarkStart w:name="z169" w:id="10"/>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val="false"/>
          <w:color w:val="000000"/>
          <w:sz w:val="28"/>
        </w:rPr>
        <w:t xml:space="preserve"> (населенный пункт) </w:t>
      </w:r>
      <w:r>
        <w:br/>
      </w: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720"/>
        <w:gridCol w:w="812"/>
        <w:gridCol w:w="812"/>
        <w:gridCol w:w="1870"/>
        <w:gridCol w:w="813"/>
        <w:gridCol w:w="3685"/>
        <w:gridCol w:w="1268"/>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рождения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w:t>
            </w:r>
            <w:r>
              <w:br/>
            </w:r>
            <w:r>
              <w:rPr>
                <w:rFonts w:ascii="Times New Roman"/>
                <w:b w:val="false"/>
                <w:i w:val="false"/>
                <w:color w:val="000000"/>
                <w:sz w:val="20"/>
              </w:rPr>
              <w:t xml:space="preserve">
отношение </w:t>
            </w:r>
            <w:r>
              <w:br/>
            </w:r>
            <w:r>
              <w:rPr>
                <w:rFonts w:ascii="Times New Roman"/>
                <w:b w:val="false"/>
                <w:i w:val="false"/>
                <w:color w:val="000000"/>
                <w:sz w:val="20"/>
              </w:rPr>
              <w:t>
к заявителю</w:t>
            </w: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Занятость </w:t>
            </w:r>
            <w:r>
              <w:br/>
            </w:r>
            <w:r>
              <w:rPr>
                <w:rFonts w:ascii="Times New Roman"/>
                <w:b w:val="false"/>
                <w:i w:val="false"/>
                <w:color w:val="000000"/>
                <w:sz w:val="20"/>
              </w:rPr>
              <w:t xml:space="preserve">
(место работы, </w:t>
            </w:r>
            <w:r>
              <w:br/>
            </w:r>
            <w:r>
              <w:rPr>
                <w:rFonts w:ascii="Times New Roman"/>
                <w:b w:val="false"/>
                <w:i w:val="false"/>
                <w:color w:val="000000"/>
                <w:sz w:val="20"/>
              </w:rPr>
              <w:t>
учебы)</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
участии в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работах, </w:t>
            </w:r>
            <w:r>
              <w:br/>
            </w:r>
            <w:r>
              <w:rPr>
                <w:rFonts w:ascii="Times New Roman"/>
                <w:b w:val="false"/>
                <w:i w:val="false"/>
                <w:color w:val="000000"/>
                <w:sz w:val="20"/>
              </w:rPr>
              <w:t xml:space="preserve">
профессиональной подготовке (переподготовке, повышении </w:t>
            </w:r>
            <w:r>
              <w:br/>
            </w:r>
            <w:r>
              <w:rPr>
                <w:rFonts w:ascii="Times New Roman"/>
                <w:b w:val="false"/>
                <w:i w:val="false"/>
                <w:color w:val="000000"/>
                <w:sz w:val="20"/>
              </w:rPr>
              <w:t>
квалификации) или в активных мерах содействия 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 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 xml:space="preserve"> Количество детей: ______ </w:t>
      </w:r>
      <w:r>
        <w:br/>
      </w:r>
      <w:r>
        <w:rPr>
          <w:rFonts w:ascii="Times New Roman"/>
          <w:b w:val="false"/>
          <w:i w:val="false"/>
          <w:color w:val="000000"/>
          <w:sz w:val="28"/>
        </w:rPr>
        <w:t>
      </w:t>
      </w:r>
      <w:r>
        <w:rPr>
          <w:rFonts w:ascii="Times New Roman"/>
          <w:b w:val="false"/>
          <w:i w:val="false"/>
          <w:color w:val="000000"/>
          <w:sz w:val="28"/>
        </w:rPr>
        <w:t xml:space="preserve">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069"/>
        <w:gridCol w:w="898"/>
        <w:gridCol w:w="898"/>
        <w:gridCol w:w="1902"/>
        <w:gridCol w:w="4074"/>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xml:space="preserve">
заявителя), </w:t>
            </w:r>
            <w:r>
              <w:br/>
            </w:r>
            <w:r>
              <w:rPr>
                <w:rFonts w:ascii="Times New Roman"/>
                <w:b w:val="false"/>
                <w:i w:val="false"/>
                <w:color w:val="000000"/>
                <w:sz w:val="20"/>
              </w:rPr>
              <w:t>
имеющих доход</w:t>
            </w:r>
            <w:r>
              <w:br/>
            </w:r>
            <w:r>
              <w:rPr>
                <w:rFonts w:ascii="Times New Roman"/>
                <w:b w:val="false"/>
                <w:i w:val="false"/>
                <w:color w:val="000000"/>
                <w:sz w:val="20"/>
              </w:rPr>
              <w:t>
 </w:t>
            </w:r>
            <w:r>
              <w:br/>
            </w: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дохода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r>
              <w:br/>
            </w:r>
            <w:r>
              <w:rPr>
                <w:rFonts w:ascii="Times New Roman"/>
                <w:b w:val="false"/>
                <w:i w:val="false"/>
                <w:color w:val="000000"/>
                <w:sz w:val="20"/>
              </w:rPr>
              <w:t>
 </w:t>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 С составленным актом ознакомлен (а): ____________________________ </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w:t>
      </w:r>
      <w:r>
        <w:rPr>
          <w:rFonts w:ascii="Times New Roman"/>
          <w:b w:val="false"/>
          <w:i w:val="false"/>
          <w:color w:val="000000"/>
          <w:sz w:val="28"/>
        </w:rPr>
        <w:t xml:space="preserve"> От проведения обследования отказываюсь _______________ Ф.И.О. и подпись заявителя (или одного из членов семьи), дата 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в Кызылжарском районе</w:t>
            </w:r>
          </w:p>
        </w:tc>
      </w:tr>
    </w:tbl>
    <w:bookmarkStart w:name="z218" w:id="11"/>
    <w:p>
      <w:pPr>
        <w:spacing w:after="0"/>
        <w:ind w:left="0"/>
        <w:jc w:val="both"/>
      </w:pPr>
      <w:r>
        <w:rPr>
          <w:rFonts w:ascii="Times New Roman"/>
          <w:b w:val="false"/>
          <w:i w:val="false"/>
          <w:color w:val="000000"/>
          <w:sz w:val="28"/>
        </w:rPr>
        <w:t>            Заключение участковой комиссии № _________</w:t>
      </w:r>
      <w:r>
        <w:br/>
      </w:r>
      <w:r>
        <w:rPr>
          <w:rFonts w:ascii="Times New Roman"/>
          <w:b w:val="false"/>
          <w:i w:val="false"/>
          <w:color w:val="000000"/>
          <w:sz w:val="28"/>
        </w:rPr>
        <w:t>
</w:t>
      </w:r>
    </w:p>
    <w:bookmarkEnd w:id="11"/>
    <w:bookmarkStart w:name="z219" w:id="12"/>
    <w:p>
      <w:pPr>
        <w:spacing w:after="0"/>
        <w:ind w:left="0"/>
        <w:jc w:val="both"/>
      </w:pPr>
      <w:r>
        <w:rPr>
          <w:rFonts w:ascii="Times New Roman"/>
          <w:b w:val="false"/>
          <w:i w:val="false"/>
          <w:color w:val="000000"/>
          <w:sz w:val="28"/>
        </w:rPr>
        <w:t>            __ _________ 20__ г.</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 xml:space="preserve"> на основании представленных документов и результатов обследования материального положения заявителя (семьи) выносит заключение о (необходимости, отсутствии необходимости) предоставления лицу (семье) социальной помощи с наступлением трудной жизненной ситуации, в размере ____месячных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val="false"/>
          <w:color w:val="000000"/>
          <w:sz w:val="28"/>
        </w:rPr>
        <w:t xml:space="preserve"> Секретарь комиссии:____________________ </w:t>
      </w:r>
      <w:r>
        <w:br/>
      </w:r>
      <w:r>
        <w:rPr>
          <w:rFonts w:ascii="Times New Roman"/>
          <w:b w:val="false"/>
          <w:i w:val="false"/>
          <w:color w:val="000000"/>
          <w:sz w:val="28"/>
        </w:rPr>
        <w:t>
      </w:t>
      </w:r>
      <w:r>
        <w:rPr>
          <w:rFonts w:ascii="Times New Roman"/>
          <w:b w:val="false"/>
          <w:i w:val="false"/>
          <w:color w:val="000000"/>
          <w:sz w:val="28"/>
        </w:rPr>
        <w:t xml:space="preserve"> 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 _____________</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