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5b90" w14:textId="25a5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30 июня 2014 года N 238. Зарегистрировано Департаментом юстиции Северо-Казахстанской области 1 августа 2014 года N 2895. Утратило силу постановлением акимата Мамлютского района Северо-Казахстанской области от 20 февраля 2015 года N 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Мамлютского района Северо-Казахстанской области от 20.02.2015 N 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 марта 2011 года «О государственном имуществе»,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(аренду)», утвержденных постановлением Правительства Республики Казахстан от 13 февраля 2014 года № 88 «Об утверждении Правил передачи государственного имущества в имущественный наем (аренду)»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Мамлютского района Северо-Казахстанской области Габбасова Р.А.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Мамлютского района Северо-Казахстанской области от 30 июня 2014 года №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Настоящий расчет ставки арендной платы при передаче районного коммунального имущества в имущественный наем (аренду) (далее – Расчет)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88, и определяет порядок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районных коммунальных юридических лиц определяется на основании базовых ставок и размеров применяемых коэффициентов, учитывающих тип строения, вид нежилого фонда, степень комфортности, территориальное расположение, вид деятельности нанимателя, организационно-правовую форму нанимателя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= Рбс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– ставка арендной платы за 1 квадратный метр в год объектов государственного нежилого фонда, находящихся на балансе районных коммунальных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Базовая ставка и размеры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при передаче районного коммунального имущества в имущественный наем (аренду)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7"/>
        <w:gridCol w:w="2264"/>
        <w:gridCol w:w="8749"/>
      </w:tblGrid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базовой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месячного расчетного показателя, установленного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 республиканском бюджете на соответствующий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9950"/>
        <w:gridCol w:w="1563"/>
      </w:tblGrid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фонда (Кк)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встроено-пристроенная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 помещение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(электрическая энергия, канализация, водоснабжение, отопление)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каких-либо видов коммуникаций уменьшается на 0,1 за каждый отсутствующий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для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коммуникационных услуг, в том числе услуг связи, автоматизированных телефонных станций, почты, расчетно-кассовых центров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обменных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тренажерных залов, фитнес-клубов, станции технического обслуживания, мастерских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общественного питания, гостиничных услуг, торговой или торгово-посреднической деятельности, аптек и аптечных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общественного питания в учебных заведениях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оказания услуг в области образования (внешкольная, кружковая деятельность для учащихся, компьютерные классы), физической культуры и спорта для детей и юношества, здравоохранения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производственной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 для помещения под гаражи, склады, камеры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 для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индивидуальных предпринимателей для организации производственной деятельности и развития сферы услуг населению, за исключением торгово-посреднической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структур с частной формой собственности (акционерные общества, товарищества с ограниченной ответственностью)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общественных организаций и 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для остальных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3. Расчет арендной платы за имущественный наем (аренду) автотранспортных средств, оборудования районной коммунальной собственности, за исключением объектов государственного нежилого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Годовая арендная плата за имущественный наем (аренду) автотранспортных средств, оборудования районной коммунальной собственности, за исключением объектов государственного нежилого фонда определяется: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= С х К1 х К2,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 А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р </w:t>
      </w:r>
      <w:r>
        <w:rPr>
          <w:rFonts w:ascii="Times New Roman"/>
          <w:b w:val="false"/>
          <w:i w:val="false"/>
          <w:color w:val="000000"/>
          <w:sz w:val="28"/>
        </w:rPr>
        <w:t>– ставка арендной платы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– базовая ставка аренды в год, принимаемая равной С = (S бал. х N аморт.),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 S бал. – первоначальная стоимость сдаваемого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N аморт. – годовая норма износа, определяется на основании предельных норм амортизации фиксированных активов согласно Налоговому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9"/>
        <w:gridCol w:w="7615"/>
        <w:gridCol w:w="3116"/>
      </w:tblGrid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срок эксплуатации К1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 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от 1 года до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свыше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от 1 года до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свыше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условия эксплуатации К2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 средства,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на территории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на остальной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4. В случае отсутствия коэффициента в таблице, принимается коэффициент равный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