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e5d3" w14:textId="6d7e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некоторые постановления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12 марта 2014 года № 66. Зарегистрировано Департаментом юстиции Атырауской области 12 марта 2014 года за № 2888. Утратило силу постановлением акимата Атырауской области от 29 июня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Дюсембаева Г.И. – первого заместителя акима области.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Руководитель республиканского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"Жайык-Каспийская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бассейновая инспекция по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 ресурсов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водным ресурсам Министерства окружающей среды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водных ресурсов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"Департамент экологии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 Комитета экологического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контроля Министерства окружающей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водных ресурсов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"Территориальная земельная инспекция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регионального развития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Атырауской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"Департамент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прав потребителей Атырауской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потребителей"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Зинуллин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Атырауской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2010 года № 66 "Об установлении границ водоохранных зон и полос рек Урал и Кигач в пределах Атырауской области" (зарегистрировано в реестре государственной регистрации нормативных правовых актов за № 2564, опубликовано 6 мая 2010 года в газете "Прикаспийская коммуна"):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хозяйственного использования водоохранных зон и полос рек Урал и Кигач":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Атырауской области от 12 апреля 2012 года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в Атырауской части Каспийского моря" (зарегистрировано в реестре государственной регистрации нормативных правовых актов за № 2612, опубликовано 5 июня 2012 года в газете "Прикаспийская коммуна"):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хозяйственного использования водоохранных зон и полос в Атырауской части Каспийского моря"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пределах водоохранных зон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запрещается: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Атырауской области от 26 апреля 2013 года №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водоохранных зон и полос рек Жем, Сагиз, Уил в пределах Атырауской области" (зарегистрировано в реестре государственной регистрации нормативных правовых актов за № 2735, опубликовано 20 июня 2013 года в газете "Прикаспийская коммуна"):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"Режим хозяйственного использования водоохранных зон и полос рек Жем, Сагиз, Уил и озера Камысколь":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