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ddb9" w14:textId="500d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расчета ставки арендной платы при передаче в имущественный наем (аренду) коммунального имущества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3 сентября 2014 года № 1760. Зарегистрировано Департаментом юстиции Южно-Казахстанской области 8 сентября 2014 года № 2799. Утратило силу постановлением акимата города Шымкент Южно-Казахстанской области от 30 апреля 2015 года № 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Шымкент Южно-Казахстанской области от 30.04.2015 № 627.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 утвержденных постановлением Правительства Республики Казахстан от 13 февраля 2014 года № 88,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в имущественный наем (аренду) коммунального имущества города Шымкент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экономики и финансов города Шымкент» (Р.Мулкеманов)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города Шымкент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заместителя акима города Шымкент Курманбекову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Д. Сатыбалды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Г.Ы.Исмаилов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Н.Т.Архабаев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Г.М.Курманбекова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Р.Ж.Мулкеманов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Б.К.Жанбосынов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Ж.Е.Агибаев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Б.М.Нарымбетов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А.Қайыпов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Т.Т.Мекамбаев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03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1760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расчета ставки арендной платы при передаче в имущественный наем (аренду) коммунального</w:t>
      </w:r>
      <w:r>
        <w:br/>
      </w:r>
      <w:r>
        <w:rPr>
          <w:rFonts w:ascii="Times New Roman"/>
          <w:b/>
          <w:i w:val="false"/>
          <w:color w:val="000000"/>
        </w:rPr>
        <w:t>
      имущества города Шымкент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расчета ставки арендной платы при передаче коммунального имущества города Шымкент  в имущественный наем (аренду) (далее –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определяют порядок расчета ставки арендной платы при передаче коммунального имущества города Шымкент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 города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(Рбс) устанавливается в размере, составляющем 1,5 (полтора) месячных расчетных показателя,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бюджете»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объектов государственного нежилого фонда, оборудования и транспортных средств государственным юридическим лицам сумма арендной платы составляет в размере 0 (ноль)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в имущественный наем (аренду) объектов государственного нежилого фонда, находящихся на балансе коммунальных юридических лиц по дням, расчет арендной платы производится исходя из стоимости годовой арендной платы и осуществляется путем математического деления ежемесячной ставки оплаты по имущественному найму на количество рабочих дней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Ап.плд. = К / Рд /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плд. – ставка арендной платы за пол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Ап.д. = К / Рд,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д. – ставка арендной платы за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в имущественный найм до 4 (четырех) часов включительно применяется Ап.плд, а в случае предоставления свыше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(четырех) часов в день применяется Ап.д., но не более 8 (восьми) часов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оплаты имущественного найма государственного нежилого фонда за день применяется в случаях, когда имущество сдается на неполный день (спортивные, актовые и выставочные залы, учебные аудитории) согласно предоставленному заявителями графику работы, согласованному с балансодержателем имущества. Данный расчет не распространяется на проведение культурно-развлекательных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Коэффициенты, применяемые при расчете ставок арендной платы для объектов коммунального имущества города Шымкент:     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"/>
        <w:gridCol w:w="10258"/>
        <w:gridCol w:w="1975"/>
      </w:tblGrid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столовые, буфеты и. д. в общеобразовательных учреждениях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 складское, гаражное, котельная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для помещений со всеми инженерно-техническими устройствами (электрическая энергия, канализация, водоснабжение, отопление) при отсутствии каких-либо видов коммуникаций уменьшается на 0,1 за каждый вид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города Шымкент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1-зона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2-зона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3-зона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АО «Казпочта», банкоматов, терминалов для обслуживания населения (в зданиях коммунальных юридических лиц города с ограниченным доступом применяется понижающий коэффициент - 0,5):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для организации торговли, гостиничных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торговли в зданиях уголовно-исполнительной системы и общежитиях учебных заведений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для организации услуг в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 культуры и спорта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 бытовых услуг в зданиях коммунальных юридических лиц области с пропускной системой (ограниченным доступом), а также для столовых и буфетов в учебных заведениях и общежитиях учебных заведений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для видов деятельности, за исключением видов деятельности, указанных в пунктах 5.1-5.7.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(Копф):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объединений, некоммерческих организаций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1-зона - территория в границах улиц: от перекрестка улиц Т. Рыскулова и А. Байтурсынова по улице Т. Рыскулова до улицы Сайрамская; от улицы Сайрамская до улицы Акназар хана; от улицы Акназар хана до перекрестка улиц Анаровой и Толеби; от перекрестка улиц Анаровой и Толеби до улицы Жансугурова; вдоль улиц Жансугурова, Текстиль, Володарского, Рашидова, Громова, Халметова до перекрестка улиц Халметова и Алпысбаева; от перекрестка улиц Халметова и Алпысбаева по улице Алпысбаева до Темирлановского шоссе; затем вдоль по улице Байдибек би прямо до перекрестка улиц Т.Рыскулова и А.Байтурсынова.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микрорайона «Нурсат», Административно-делового центра-1 и Государственного коммунального казенного предприятия «Шымкентский государственный дендрологический парк».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2-зона - территории микрорайонов «Самал-2», «Самал», «Наурыз», «Айкап», «Туркестан», «Сайрам», «Север», «Шапагат» и «Восток».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3-зона - зона начинается с внешней границы 1 и 2 зон и охватывает всю северную, восточную, южную и западную территорию города Шымкент.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