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a6ef" w14:textId="dcaa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Туркестанского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Туркестанского городского маслихата Южно-Казахстанской области от 19 марта 2014 года № 25/144-V. Зарегистрировано Департаментом юстиции Южно-Казахстанской области 14 апреля 2014 года № 2606. Утратило силу решением Туркестанского городского маслихата Южно-Казахстанской области от 29 июня 2016 года № 5/19-VI</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Туркестанского городского маслихата Южно-Казахстанской области от 29.06.2016 № 5/19-VI.</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Туркестанский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Туркестанского городского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А.Наринбетов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Г.Рысбеков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Туркестанского городского</w:t>
            </w:r>
            <w:r>
              <w:br/>
            </w:r>
            <w:r>
              <w:rPr>
                <w:rFonts w:ascii="Times New Roman"/>
                <w:b w:val="false"/>
                <w:i w:val="false"/>
                <w:color w:val="000000"/>
                <w:sz w:val="20"/>
              </w:rPr>
              <w:t>маслихата от 19 марта</w:t>
            </w:r>
            <w:r>
              <w:br/>
            </w:r>
            <w:r>
              <w:rPr>
                <w:rFonts w:ascii="Times New Roman"/>
                <w:b w:val="false"/>
                <w:i w:val="false"/>
                <w:color w:val="000000"/>
                <w:sz w:val="20"/>
              </w:rPr>
              <w:t>2014 года № 25/144-V</w:t>
            </w:r>
          </w:p>
        </w:tc>
      </w:tr>
    </w:tbl>
    <w:bookmarkStart w:name="z5" w:id="0"/>
    <w:p>
      <w:pPr>
        <w:spacing w:after="0"/>
        <w:ind w:left="0"/>
        <w:jc w:val="left"/>
      </w:pPr>
      <w:r>
        <w:rPr>
          <w:rFonts w:ascii="Times New Roman"/>
          <w:b/>
          <w:i w:val="false"/>
          <w:color w:val="000000"/>
        </w:rPr>
        <w:t xml:space="preserve"> Регламент Туркестанского городского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Туркестанского городского маслихата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Туркестанский городской маслихат (местный представительный орган) – выборный орган, избираемый населением города,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городского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городского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городского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городского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городского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городского маслихата созывается председателем городской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городского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городской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городского маслихата созывается не реже четырех раз в год и ведется председателем сессии городского маслихата.</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казахском языке, текст на русском языке не изменяется в соответствии с решением Туркестанского городского маслихата Южно-Казахстанской области от 27.03.2015 № </w:t>
      </w:r>
      <w:r>
        <w:rPr>
          <w:rFonts w:ascii="Times New Roman"/>
          <w:b w:val="false"/>
          <w:i w:val="false"/>
          <w:color w:val="ff0000"/>
          <w:sz w:val="28"/>
        </w:rPr>
        <w:t>40/232-V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Внеочередная сессия городского маслихата созывается и ведется председателем сессии маслихата по предложению не менее одной трети от числа депутатов, избранных в данный городской маслихат, а также акима города.</w:t>
      </w:r>
      <w:r>
        <w:br/>
      </w:r>
      <w:r>
        <w:rPr>
          <w:rFonts w:ascii="Times New Roman"/>
          <w:b w:val="false"/>
          <w:i w:val="false"/>
          <w:color w:val="000000"/>
          <w:sz w:val="28"/>
        </w:rPr>
        <w:t>
      Внеочередная сессия городского маслихата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городского маслихата сообщает депутатам, населению и акиму города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городского маслихата не позднее чем за пять дней до сессии, а в случае созыва внеочередной сессии не позднее чем за три дня представляет депутатам и акиму города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городского маслихата освобождается от выполнения служебных обязанностей с возмещением ему за счет средств городского бюджета средней заработной платы по месту основной работы, но в размере, не превышающем заработную плату руководителя аппарата акима города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городского маслихата, вопросов, вносимых секретарем маслихата, постоянными комиссиями и иными органами городского маслихата, депутатскими группами и депутатами, акимом города.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городского маслихата приглашаются аким города,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r>
        <w:br/>
      </w:r>
      <w:r>
        <w:rPr>
          <w:rFonts w:ascii="Times New Roman"/>
          <w:b w:val="false"/>
          <w:i w:val="false"/>
          <w:color w:val="000000"/>
          <w:sz w:val="28"/>
        </w:rPr>
        <w:t>
      Продолжительность докладов не должна превышать 30 минут, содокладов – 20 минут, информаций – 15 минут, заключительного слова – 10 минут.</w:t>
      </w:r>
      <w:r>
        <w:br/>
      </w:r>
      <w:r>
        <w:rPr>
          <w:rFonts w:ascii="Times New Roman"/>
          <w:b w:val="false"/>
          <w:i w:val="false"/>
          <w:color w:val="000000"/>
          <w:sz w:val="28"/>
        </w:rPr>
        <w:t>
      Выступающим в прениях предоставляется до 10 минут, для повторных выступлениях в прениях, для выступлений при обсуждении проекта решения городского маслихата – до 5 минут, для выступлений по порядку ведения заседания, по мотивам голосования, по обсуждению кандидатур, для заявлений, предложений, обращений, ответов на вопросы, справок – до 3 минут.</w:t>
      </w:r>
      <w:r>
        <w:br/>
      </w:r>
      <w:r>
        <w:rPr>
          <w:rFonts w:ascii="Times New Roman"/>
          <w:b w:val="false"/>
          <w:i w:val="false"/>
          <w:color w:val="000000"/>
          <w:sz w:val="28"/>
        </w:rPr>
        <w:t>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городского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xml:space="preserve">
      Вопросы докладчикам подаются в письменном или устном виде. Письменные вопросы подаются председателю сессии и оглашаются на заседании маслихата.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городского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Городской маслихат по вопросам своей компетенции принимает решения большинством голосов от общего числа депутатов городского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городского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городского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городской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городского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городским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городского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города, отчетов об их исполнении, схем управления городом и другие выносимые на рассмотрение сессии городского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городской маслихат за три недели до очередной сессии на рассмотрение постоянных комиссий городского маслихата.</w:t>
      </w:r>
      <w:r>
        <w:br/>
      </w:r>
      <w:r>
        <w:rPr>
          <w:rFonts w:ascii="Times New Roman"/>
          <w:b w:val="false"/>
          <w:i w:val="false"/>
          <w:color w:val="000000"/>
          <w:sz w:val="28"/>
        </w:rPr>
        <w:t>
      </w:t>
      </w:r>
      <w:r>
        <w:rPr>
          <w:rFonts w:ascii="Times New Roman"/>
          <w:b w:val="false"/>
          <w:i w:val="false"/>
          <w:color w:val="000000"/>
          <w:sz w:val="28"/>
        </w:rPr>
        <w:t>28. Проект городского бюджета рассматривается в постоянных комиссиях маслихата. Секретарь городского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рабочих групп вырабатывают предложения по проекту городского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городского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городского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Городской бюджет, утверждается на сессии городского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 xml:space="preserve">30. При уточнении городского бюджета на внеочередной сессии областного маслихата в течение двух дней со дня принятия решения о ее созыве проводится работа по рассмотрению уточнений бюджета в постоянных комиссиях. </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Городской маслихат осуществляет контроль за исполнением городского бюджета, программ развития города путем заслушивания отчетов акима города.</w:t>
      </w:r>
      <w:r>
        <w:br/>
      </w:r>
      <w:r>
        <w:rPr>
          <w:rFonts w:ascii="Times New Roman"/>
          <w:b w:val="false"/>
          <w:i w:val="false"/>
          <w:color w:val="000000"/>
          <w:sz w:val="28"/>
        </w:rPr>
        <w:t>
      </w:t>
      </w:r>
      <w:r>
        <w:rPr>
          <w:rFonts w:ascii="Times New Roman"/>
          <w:b w:val="false"/>
          <w:i w:val="false"/>
          <w:color w:val="000000"/>
          <w:sz w:val="28"/>
        </w:rPr>
        <w:t xml:space="preserve">32. Городской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города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городского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города отчетов об исполнении планов, экономических и социальных программ развития города, городского бюджета является основанием для рассмотрения маслихатом вопроса о выражении недоверия акиму города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Городской маслихат заслушивает отчеты председателя сессии и секретаря городского маслихата, председателей постоянных комиссий и иных органов маслихата.</w:t>
      </w:r>
      <w:r>
        <w:br/>
      </w:r>
      <w:r>
        <w:rPr>
          <w:rFonts w:ascii="Times New Roman"/>
          <w:b w:val="false"/>
          <w:i w:val="false"/>
          <w:color w:val="000000"/>
          <w:sz w:val="28"/>
        </w:rPr>
        <w:t>
      Секретарь городского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области об исполнении городского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Городской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городского маслихата представляется населению сельских округов на сходах местного сообщества группой депутатов, возглавляемой секретарем городского маслихата, председателями постоянных комиссий. </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городского маслихата по вопросам, отнесенным к компетенции городского маслихата, обращается с официальным письменным запросом к акиму города, председателю и члену городской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городского маслихата и рассматриваются на ее заседании при решении вопроса о включении их в повестку дня сессии. Копия запроса направляется секретарем городского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Городской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городского маслихата</w:t>
      </w:r>
      <w:r>
        <w:br/>
      </w:r>
      <w:r>
        <w:rPr>
          <w:rFonts w:ascii="Times New Roman"/>
          <w:b/>
          <w:i w:val="false"/>
          <w:color w:val="000000"/>
        </w:rPr>
        <w:t>5.1. Председатель сессии городского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городского маслихата избирается на предыдущей сессии городского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городского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городского маслихата не может быть избран председателем сессии городского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городского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городского маслихата:</w:t>
      </w:r>
      <w:r>
        <w:br/>
      </w:r>
      <w:r>
        <w:rPr>
          <w:rFonts w:ascii="Times New Roman"/>
          <w:b w:val="false"/>
          <w:i w:val="false"/>
          <w:color w:val="000000"/>
          <w:sz w:val="28"/>
        </w:rPr>
        <w:t>
      1) принимает решение о созыве сессии городского маслихата;</w:t>
      </w:r>
      <w:r>
        <w:br/>
      </w:r>
      <w:r>
        <w:rPr>
          <w:rFonts w:ascii="Times New Roman"/>
          <w:b w:val="false"/>
          <w:i w:val="false"/>
          <w:color w:val="000000"/>
          <w:sz w:val="28"/>
        </w:rPr>
        <w:t>
      2) осуществляет руководство подготовкой сессии городского маслихата, формирует повестку дня сессии;</w:t>
      </w:r>
      <w:r>
        <w:br/>
      </w:r>
      <w:r>
        <w:rPr>
          <w:rFonts w:ascii="Times New Roman"/>
          <w:b w:val="false"/>
          <w:i w:val="false"/>
          <w:color w:val="000000"/>
          <w:sz w:val="28"/>
        </w:rPr>
        <w:t>
      3) ведет заседания сессии городского маслихата, обеспечивает соблюдение регламента городского маслихата;</w:t>
      </w:r>
      <w:r>
        <w:br/>
      </w:r>
      <w:r>
        <w:rPr>
          <w:rFonts w:ascii="Times New Roman"/>
          <w:b w:val="false"/>
          <w:i w:val="false"/>
          <w:color w:val="000000"/>
          <w:sz w:val="28"/>
        </w:rPr>
        <w:t>
      4) подписывает решения городского маслихата, протоколы, иные документы, принятые или утвержденные на сессии городского маслихата.</w:t>
      </w:r>
      <w:r>
        <w:br/>
      </w:r>
      <w:r>
        <w:rPr>
          <w:rFonts w:ascii="Times New Roman"/>
          <w:b w:val="false"/>
          <w:i w:val="false"/>
          <w:color w:val="000000"/>
          <w:sz w:val="28"/>
        </w:rPr>
        <w:t>
      Председатель сессии городского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 xml:space="preserve">43. Председатель сессии городского маслихата пользуется правом решающего голоса в случае, если при голосовании на сессии городского маслихата голоса депутатов разделяются поровну. </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городского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городской маслихат избирает из числа депутатов секретаря городского маслихата, который является должностным лицом, работающим на постоянной основе и подотчетным маслихату. Секретарь городского маслихата избирается на срок полномочий маслихата.</w:t>
      </w:r>
      <w:r>
        <w:br/>
      </w:r>
      <w:r>
        <w:rPr>
          <w:rFonts w:ascii="Times New Roman"/>
          <w:b w:val="false"/>
          <w:i w:val="false"/>
          <w:color w:val="000000"/>
          <w:sz w:val="28"/>
        </w:rPr>
        <w:t xml:space="preserve">
      Секретарь городского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городского маслихата выдвигаются депутатами маслихата на сессии городского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городского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городского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городского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 xml:space="preserve">. </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городского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городской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городского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городского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городского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городского маслихата, городской маслихат либо секретарь городского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городского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Городской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городского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городском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городского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городского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 xml:space="preserve">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городского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городского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не должны призывать к незаконным и насильственным действиям; </w:t>
      </w:r>
      <w:r>
        <w:br/>
      </w:r>
      <w:r>
        <w:rPr>
          <w:rFonts w:ascii="Times New Roman"/>
          <w:b w:val="false"/>
          <w:i w:val="false"/>
          <w:color w:val="000000"/>
          <w:sz w:val="28"/>
        </w:rPr>
        <w:t>
      4) не должны препятствовать нормальной работе городского маслихата, постоянных комиссий и иных органов городского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городского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городского маслихата, не имеющий специальных полномочий на представительство городского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городского маслихата за неисполнение и (или) ненадлежащее исполнение своих обязанностей, а также нарушение правил депутатской этики, установленных регламентом городского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Организация работы аппарата городского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городского маслихата и его органов, оказания помощи депутатам в осуществлении их полномочий образуется аппарат городского маслихата.</w:t>
      </w:r>
      <w:r>
        <w:br/>
      </w:r>
      <w:r>
        <w:rPr>
          <w:rFonts w:ascii="Times New Roman"/>
          <w:b w:val="false"/>
          <w:i w:val="false"/>
          <w:color w:val="000000"/>
          <w:sz w:val="28"/>
        </w:rPr>
        <w:t>
      Аппарат городского маслихата является государственным учреждением, содержащимся за счет городского бюджета.</w:t>
      </w:r>
      <w:r>
        <w:br/>
      </w:r>
      <w:r>
        <w:rPr>
          <w:rFonts w:ascii="Times New Roman"/>
          <w:b w:val="false"/>
          <w:i w:val="false"/>
          <w:color w:val="000000"/>
          <w:sz w:val="28"/>
        </w:rPr>
        <w:t>
      Положение об аппарате городского маслихата утверждается городским маслихатом.</w:t>
      </w:r>
      <w:r>
        <w:br/>
      </w:r>
      <w:r>
        <w:rPr>
          <w:rFonts w:ascii="Times New Roman"/>
          <w:b w:val="false"/>
          <w:i w:val="false"/>
          <w:color w:val="000000"/>
          <w:sz w:val="28"/>
        </w:rPr>
        <w:t>
      </w:t>
      </w:r>
      <w:r>
        <w:rPr>
          <w:rFonts w:ascii="Times New Roman"/>
          <w:b w:val="false"/>
          <w:i w:val="false"/>
          <w:color w:val="000000"/>
          <w:sz w:val="28"/>
        </w:rPr>
        <w:t>66. Городской маслихат утверждает структуру аппарата городского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городского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городского маслихата, в случаях досрочного прекращения полномочий городского маслихата и выборов нового состава его депутатов, деятельность государственных служащих аппарата городского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