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5d8f" w14:textId="7105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Казыгуртского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Южно-Казахстанской области от 11 апреля 2014 года № 30/201-V. Зарегистрировано Департаментом юстиции Южно-Казахстанской области 12 мая 2014 года № 2654. Утратило силу решением Казыгуртского районного маслихата Южно-Казахстанской области от 8 июля 2016 года № 6/32-VI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Казыгуртского районного маслихата Южно-Казахстанской области от 08.07.2016 № 6/32-VI.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Казыгуртский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Казыгуртского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Настоящий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решением Казыгуртского</w:t>
            </w:r>
            <w:r>
              <w:br/>
            </w:r>
            <w:r>
              <w:rPr>
                <w:rFonts w:ascii="Times New Roman"/>
                <w:b w:val="false"/>
                <w:i w:val="false"/>
                <w:color w:val="000000"/>
                <w:sz w:val="20"/>
              </w:rPr>
              <w:t>районного маслихата от 11 апреля</w:t>
            </w:r>
            <w:r>
              <w:br/>
            </w:r>
            <w:r>
              <w:rPr>
                <w:rFonts w:ascii="Times New Roman"/>
                <w:b w:val="false"/>
                <w:i w:val="false"/>
                <w:color w:val="000000"/>
                <w:sz w:val="20"/>
              </w:rPr>
              <w:t>2014 года № 201</w:t>
            </w:r>
          </w:p>
        </w:tc>
      </w:tr>
    </w:tbl>
    <w:bookmarkStart w:name="z5" w:id="0"/>
    <w:p>
      <w:pPr>
        <w:spacing w:after="0"/>
        <w:ind w:left="0"/>
        <w:jc w:val="left"/>
      </w:pPr>
      <w:r>
        <w:rPr>
          <w:rFonts w:ascii="Times New Roman"/>
          <w:b/>
          <w:i w:val="false"/>
          <w:color w:val="000000"/>
        </w:rPr>
        <w:t xml:space="preserve"> Регламент Казыгуртского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Казыгуртского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Казыгуртский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Казыгуртского районного маслихата Южно-Казахстанской области от 30.03.2015 </w:t>
      </w:r>
      <w:r>
        <w:rPr>
          <w:rFonts w:ascii="Times New Roman"/>
          <w:b w:val="false"/>
          <w:i w:val="false"/>
          <w:color w:val="ff0000"/>
          <w:sz w:val="28"/>
        </w:rPr>
        <w:t>№ 42/291-V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сельских округов на сходах местного сообщества группой депутатов, возглавляемой секретарем районного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районный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районным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