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9030" w14:textId="2149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Ордабасинского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Ордабасинского районного маслихата Южно-Казахстанской области от 31 марта 2014 года № 30/11. Зарегистрировано Департаментом юстиции Южно-Казахстанской области 22 апреля 2014 года № 2616. Утратило силу решением Ордабасинского районного маслихата Южно-Казахстанской области от 22 июня 2016 года № 4/9</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Ордабасинского районного маслихата Южно-Казахстанской области от 22.06.2016 № 4/9.</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Ордабасинский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Ордабасинского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Т.Жанысбаев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Ордабасинского районного</w:t>
            </w:r>
            <w:r>
              <w:br/>
            </w:r>
            <w:r>
              <w:rPr>
                <w:rFonts w:ascii="Times New Roman"/>
                <w:b w:val="false"/>
                <w:i w:val="false"/>
                <w:color w:val="000000"/>
                <w:sz w:val="20"/>
              </w:rPr>
              <w:t>маслихата от 31 марта</w:t>
            </w:r>
            <w:r>
              <w:br/>
            </w:r>
            <w:r>
              <w:rPr>
                <w:rFonts w:ascii="Times New Roman"/>
                <w:b w:val="false"/>
                <w:i w:val="false"/>
                <w:color w:val="000000"/>
                <w:sz w:val="20"/>
              </w:rPr>
              <w:t>2014 года № 30/11</w:t>
            </w:r>
          </w:p>
        </w:tc>
      </w:tr>
    </w:tbl>
    <w:bookmarkStart w:name="z5" w:id="0"/>
    <w:p>
      <w:pPr>
        <w:spacing w:after="0"/>
        <w:ind w:left="0"/>
        <w:jc w:val="left"/>
      </w:pPr>
      <w:r>
        <w:rPr>
          <w:rFonts w:ascii="Times New Roman"/>
          <w:b/>
          <w:i w:val="false"/>
          <w:color w:val="000000"/>
        </w:rPr>
        <w:t xml:space="preserve"> Регламент Ордабасинского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Ордабасинского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Ордабасинскии районый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решением Ордабасинского районного маслихата Южно-Казахстанской области от 26.03.2015 </w:t>
      </w:r>
      <w:r>
        <w:rPr>
          <w:rFonts w:ascii="Times New Roman"/>
          <w:b w:val="false"/>
          <w:i w:val="false"/>
          <w:color w:val="ff0000"/>
          <w:sz w:val="28"/>
        </w:rPr>
        <w:t>№ 42/10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районной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районном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30. При уточнении районного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 </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района,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районного маслихата представляется населению районного значения, сел, поселков, сельских округов на сходах местного сообщества группой депутатов, возглавляемой секретарем районного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w:t>
      </w:r>
      <w:r>
        <w:br/>
      </w:r>
      <w:r>
        <w:rPr>
          <w:rFonts w:ascii="Times New Roman"/>
          <w:b w:val="false"/>
          <w:i w:val="false"/>
          <w:color w:val="000000"/>
          <w:sz w:val="28"/>
        </w:rPr>
        <w:t>
      </w:t>
      </w:r>
      <w:r>
        <w:rPr>
          <w:rFonts w:ascii="Times New Roman"/>
          <w:b/>
          <w:i w:val="false"/>
          <w:color w:val="000000"/>
          <w:sz w:val="28"/>
        </w:rPr>
        <w:t xml:space="preserve">7. Организация работы аппарата районного </w:t>
      </w:r>
      <w:r>
        <w:rPr>
          <w:rFonts w:ascii="Times New Roman"/>
          <w:b/>
          <w:i w:val="false"/>
          <w:color w:val="000000"/>
          <w:sz w:val="28"/>
        </w:rPr>
        <w:t>маслихата</w:t>
      </w:r>
      <w:r>
        <w:br/>
      </w: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