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6cec" w14:textId="b2e6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Сарыагашского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Сарыагашского районного маслихата Южно-Казахстанской области от 31 марта 2014 года № 29-238-V. Зарегистрировано Департаментом юстиции Южно-Казахстанской области 11 мая 2014 года № 2653. Утратило силу решением Сарыагашского районного маслихата Южно-Казахстанской области от 30 июня 2016 года № 3-39-VI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Сарыагашского районного маслихата Южно-Казахстанской области от 30.06.2016 № 3-39-VI.</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Сарыагашский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Сарыагашского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 решением</w:t>
            </w:r>
            <w:r>
              <w:br/>
            </w:r>
            <w:r>
              <w:rPr>
                <w:rFonts w:ascii="Times New Roman"/>
                <w:b w:val="false"/>
                <w:i w:val="false"/>
                <w:color w:val="000000"/>
                <w:sz w:val="20"/>
              </w:rPr>
              <w:t>Сарыагашского районного</w:t>
            </w:r>
            <w:r>
              <w:br/>
            </w:r>
            <w:r>
              <w:rPr>
                <w:rFonts w:ascii="Times New Roman"/>
                <w:b w:val="false"/>
                <w:i w:val="false"/>
                <w:color w:val="000000"/>
                <w:sz w:val="20"/>
              </w:rPr>
              <w:t>маслихата от 31 марта</w:t>
            </w:r>
            <w:r>
              <w:br/>
            </w:r>
            <w:r>
              <w:rPr>
                <w:rFonts w:ascii="Times New Roman"/>
                <w:b w:val="false"/>
                <w:i w:val="false"/>
                <w:color w:val="000000"/>
                <w:sz w:val="20"/>
              </w:rPr>
              <w:t>2014 года № 29-238-V</w:t>
            </w:r>
          </w:p>
        </w:tc>
      </w:tr>
    </w:tbl>
    <w:bookmarkStart w:name="z5" w:id="0"/>
    <w:p>
      <w:pPr>
        <w:spacing w:after="0"/>
        <w:ind w:left="0"/>
        <w:jc w:val="left"/>
      </w:pPr>
      <w:r>
        <w:rPr>
          <w:rFonts w:ascii="Times New Roman"/>
          <w:b/>
          <w:i w:val="false"/>
          <w:color w:val="000000"/>
        </w:rPr>
        <w:t xml:space="preserve"> Регламент Сарыагашского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Сарыагашского районного маслихата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Сарыагашский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районного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районного маслихата открывает председатель избирательной комиссии и до избрания председателя сессии маслихата ведет ее.</w:t>
      </w:r>
      <w:r>
        <w:br/>
      </w:r>
      <w:r>
        <w:rPr>
          <w:rFonts w:ascii="Times New Roman"/>
          <w:b w:val="false"/>
          <w:i w:val="false"/>
          <w:color w:val="000000"/>
          <w:sz w:val="28"/>
        </w:rPr>
        <w:t>
      Председатель районной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районного маслихата созывается не реже четырех раз в год и ведется председателем сессии районного маслихата.</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государственном языке, текст на русском языке не изменяется в соответствии с решением Сарыагашского районного маслихата Южно-Казахстанской области от 27.03.2015 </w:t>
      </w:r>
      <w:r>
        <w:rPr>
          <w:rFonts w:ascii="Times New Roman"/>
          <w:b w:val="false"/>
          <w:i w:val="false"/>
          <w:color w:val="ff0000"/>
          <w:sz w:val="28"/>
        </w:rPr>
        <w:t>№ 40-342-V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районный маслихат, а также акима района.</w:t>
      </w:r>
      <w:r>
        <w:br/>
      </w:r>
      <w:r>
        <w:rPr>
          <w:rFonts w:ascii="Times New Roman"/>
          <w:b w:val="false"/>
          <w:i w:val="false"/>
          <w:color w:val="000000"/>
          <w:sz w:val="28"/>
        </w:rPr>
        <w:t>
      Внеочередная сессия районного маслихата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районного маслихата освобождается от выполнения служебных обязанностей с возмещением ему за счет средств районного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районного маслихата, вопросов, вносимых секретарем маслихата, постоянными комиссиями и иными органами районного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акимы города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w:t>
      </w:r>
      <w:r>
        <w:br/>
      </w:r>
      <w:r>
        <w:rPr>
          <w:rFonts w:ascii="Times New Roman"/>
          <w:b w:val="false"/>
          <w:i w:val="false"/>
          <w:color w:val="000000"/>
          <w:sz w:val="28"/>
        </w:rPr>
        <w:t>
      Продолжительность докладов не должна превышать 30 минут, содокладов – 20 минут, информаций – 15 минут, заключительного слова – 10 минут.</w:t>
      </w:r>
      <w:r>
        <w:br/>
      </w:r>
      <w:r>
        <w:rPr>
          <w:rFonts w:ascii="Times New Roman"/>
          <w:b w:val="false"/>
          <w:i w:val="false"/>
          <w:color w:val="000000"/>
          <w:sz w:val="28"/>
        </w:rPr>
        <w:t>
      Выступающим в прениях предоставляется до 10 минут, для повторных выступлениях в прениях, для выступлений при обсуждении проекта решения районного маслихата – до 5 минут, для выступлений по порядку ведения заседания, по мотивам голосования, по обсуждению кандидатур, для заявлений, предложений, обращений, ответов на вопросы, справок – до 3 минут.</w:t>
      </w:r>
      <w:r>
        <w:br/>
      </w:r>
      <w:r>
        <w:rPr>
          <w:rFonts w:ascii="Times New Roman"/>
          <w:b w:val="false"/>
          <w:i w:val="false"/>
          <w:color w:val="000000"/>
          <w:sz w:val="28"/>
        </w:rPr>
        <w:t>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районного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Районный маслихат по вопросам своей компетенции принимает решения большинством голосов от общего числа депутатов районного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районного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районного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районный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районным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районного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районного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постоянных комиссий районного маслихата.</w:t>
      </w:r>
      <w:r>
        <w:br/>
      </w:r>
      <w:r>
        <w:rPr>
          <w:rFonts w:ascii="Times New Roman"/>
          <w:b w:val="false"/>
          <w:i w:val="false"/>
          <w:color w:val="000000"/>
          <w:sz w:val="28"/>
        </w:rPr>
        <w:t>
      </w:t>
      </w:r>
      <w:r>
        <w:rPr>
          <w:rFonts w:ascii="Times New Roman"/>
          <w:b w:val="false"/>
          <w:i w:val="false"/>
          <w:color w:val="000000"/>
          <w:sz w:val="28"/>
        </w:rPr>
        <w:t>28. Проект районного бюджета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рабочих групп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районного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Районный бюджет,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областного маслихата в течение двух дней со дня принятия решения о ее созыве проводится работа по рассмотрению уточнений бюджета в постоянных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районного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районного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района отчетов об исполнении планов, экономических и социальных программ развития района, районного бюджета является основанием для рассмотрения маслихатом вопроса о выражении недоверия акиму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районного маслихата представляется населению города районного значения, сел, поселков, сельских округов на сходах местного сообщества группой депутатов, возглавляемой секретарем районного маслихата, председателями постоянных комиссий.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районного маслихата по вопросам, отнесенным к компетенции районного маслихата, обращается с официальным письменным запросом к акиму района,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районного маслихата</w:t>
      </w:r>
      <w:r>
        <w:br/>
      </w:r>
      <w:r>
        <w:rPr>
          <w:rFonts w:ascii="Times New Roman"/>
          <w:b/>
          <w:i w:val="false"/>
          <w:color w:val="000000"/>
        </w:rPr>
        <w:t>5.1. Председатель сессии районного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районного маслихата избирается на предыдущей сессии районного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районного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районного маслихата не может быть избран председателем сессии районного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заседания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Председатель сессии районного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районного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районный маслихат избирает из числа депутатов секретаря районного маслихата, который является должностным лицом, работающим на постоянной основе и подотчетным маслихату. Секретарь районного маслихата избирается на срок полномочий маслихата.</w:t>
      </w:r>
      <w:r>
        <w:br/>
      </w:r>
      <w:r>
        <w:rPr>
          <w:rFonts w:ascii="Times New Roman"/>
          <w:b w:val="false"/>
          <w:i w:val="false"/>
          <w:color w:val="000000"/>
          <w:sz w:val="28"/>
        </w:rPr>
        <w:t xml:space="preserve">
      Секретарь районного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районного маслихата выдвигаются депутатами маслихата на сессии районного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районного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районного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районного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районного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районного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районного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районного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49. В целях подготовки к рассмотрению на сессиях отдельных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районного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районном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районного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районного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районного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районного маслихата, постоянных комиссий и иных органов районного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районного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районного маслихата, не имеющий специальных полномочий на представительство районного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районного маслихата за неисполнение и (или) ненадлежащее исполнение своих обязанностей, а также нарушение правил депутатской этики, установленных регламентом районного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7. Организация работы аппарата районного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районного маслихата и его органов, оказания помощи депутатам в осуществлении их полномочий образуется аппарат районного маслихата.</w:t>
      </w:r>
      <w:r>
        <w:br/>
      </w:r>
      <w:r>
        <w:rPr>
          <w:rFonts w:ascii="Times New Roman"/>
          <w:b w:val="false"/>
          <w:i w:val="false"/>
          <w:color w:val="000000"/>
          <w:sz w:val="28"/>
        </w:rPr>
        <w:t>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районного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Районный маслихат утверждает структуру аппарата районного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