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183d" w14:textId="8211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Тюлькубасского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Тюлькубасского районного маслихата Южно-Казахстанской области от 15 апреля 2014 года № 27/7-05. Зарегистрировано Департаментом юстиции Южно-Казахстанской области 14 мая 2014 года № 2658. Утратило силу решением Тюлькубасского районного маслихата Южно-Казахстанской области от 30 июня 2016 года № 3/19-06</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Тюлькубасского районного маслихата Южно-Казахстанской области от 30.06.2016 № 3/19-06.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Тюлькубасский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Тюлькубасского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2. Настоящее решение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Қошқаров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 решением Тюлькубасского</w:t>
            </w:r>
            <w:r>
              <w:br/>
            </w:r>
            <w:r>
              <w:rPr>
                <w:rFonts w:ascii="Times New Roman"/>
                <w:b w:val="false"/>
                <w:i w:val="false"/>
                <w:color w:val="000000"/>
                <w:sz w:val="20"/>
              </w:rPr>
              <w:t>районного маслихата от 15 апреля</w:t>
            </w:r>
            <w:r>
              <w:br/>
            </w:r>
            <w:r>
              <w:rPr>
                <w:rFonts w:ascii="Times New Roman"/>
                <w:b w:val="false"/>
                <w:i w:val="false"/>
                <w:color w:val="000000"/>
                <w:sz w:val="20"/>
              </w:rPr>
              <w:t>2014 года № 27/7-05</w:t>
            </w:r>
          </w:p>
        </w:tc>
      </w:tr>
    </w:tbl>
    <w:bookmarkStart w:name="z5" w:id="0"/>
    <w:p>
      <w:pPr>
        <w:spacing w:after="0"/>
        <w:ind w:left="0"/>
        <w:jc w:val="left"/>
      </w:pPr>
      <w:r>
        <w:rPr>
          <w:rFonts w:ascii="Times New Roman"/>
          <w:b/>
          <w:i w:val="false"/>
          <w:color w:val="000000"/>
        </w:rPr>
        <w:t xml:space="preserve"> Регламент Тюлькубасского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Тюлькубасского районного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и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Тюлькубасский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районного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изменяется в соответствии с решением Тюлькубасского районного маслихата Южно-Казахстанской области от 27.03.2015 </w:t>
      </w:r>
      <w:r>
        <w:rPr>
          <w:rFonts w:ascii="Times New Roman"/>
          <w:b w:val="false"/>
          <w:i w:val="false"/>
          <w:color w:val="ff0000"/>
          <w:sz w:val="28"/>
        </w:rPr>
        <w:t>№ 39/7-05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районный маслихат, а также акима района.</w:t>
      </w:r>
      <w:r>
        <w:br/>
      </w:r>
      <w:r>
        <w:rPr>
          <w:rFonts w:ascii="Times New Roman"/>
          <w:b w:val="false"/>
          <w:i w:val="false"/>
          <w:color w:val="000000"/>
          <w:sz w:val="28"/>
        </w:rPr>
        <w:t>
      Внеочередная сессия районного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районного маслихата освобождается от выполнения служебных обязанностей с возмещением ему за счет средств районного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маслихата, постоянными комиссиями и иными органами районного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поселковых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районного маслихата - до 5 минут, для выступлений по порядку ведения заседания, по мотавам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xml:space="preserve">
      Вопросы докладчикам подаются в письменном или устном виде. Письменные вопросы подаются председателю сессии и оглашаются на заседании маслихата.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Районный маслихат по вопросам своей компетенции принимает решения большинством голосов от общего числа депутатов районного маслихата, если иное не установлено законом</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w:t>
      </w:r>
      <w:r>
        <w:rPr>
          <w:rFonts w:ascii="Times New Roman"/>
          <w:b/>
          <w:i w:val="false"/>
          <w:color w:val="000000"/>
          <w:sz w:val="28"/>
        </w:rPr>
        <w:t>.</w:t>
      </w:r>
      <w:r>
        <w:rPr>
          <w:rFonts w:ascii="Times New Roman"/>
          <w:b w:val="false"/>
          <w:i w:val="false"/>
          <w:color w:val="000000"/>
          <w:sz w:val="28"/>
        </w:rPr>
        <w:t xml:space="preserve">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районного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районом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районного маслихата в течение двух дней со дня принятия решения о ее созыве проводится работа по рассмотрению уточнений бюджета в постоянных комиссиях.</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w:t>
      </w:r>
      <w:r>
        <w:rPr>
          <w:rFonts w:ascii="Times New Roman"/>
          <w:b/>
          <w:i w:val="false"/>
          <w:color w:val="000000"/>
          <w:sz w:val="28"/>
        </w:rPr>
        <w:t xml:space="preserve">. </w:t>
      </w:r>
      <w:r>
        <w:rPr>
          <w:rFonts w:ascii="Times New Roman"/>
          <w:b w:val="false"/>
          <w:i w:val="false"/>
          <w:color w:val="000000"/>
          <w:sz w:val="28"/>
        </w:rPr>
        <w:t>Районный маслихат осуществляет контроль за исполнением районного бюджета, программ развития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района отчетов об исполнении планов, экономических и социальных программ развития района, районного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и иных органов маслихата.</w:t>
      </w:r>
      <w:r>
        <w:br/>
      </w:r>
      <w:r>
        <w:rPr>
          <w:rFonts w:ascii="Times New Roman"/>
          <w:b w:val="false"/>
          <w:i w:val="false"/>
          <w:color w:val="000000"/>
          <w:sz w:val="28"/>
        </w:rPr>
        <w:t>
      Секретарь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области об исполнении районного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районного маслихата представляется населению поселковых, сельских округов на сходах местного сообщества группой депутатов, возглавляемой секретарем районного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районного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xml:space="preserve">43.Председатель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 </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районного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районного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районном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xml:space="preserve">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районного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районного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Аппарат районного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районного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