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f5a2" w14:textId="a73f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Курчатов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23 декабря 2014 года № 30/206-V. Зарегистрировано Департаментом юстиции Восточно-Казахстанской области 30 декабря 2014 года № 3604. Утратило силу - решением Курчатовского городского маслихата Восточно-Казахстанской области от 23 декабря 2015 года № 41/295-V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23.12.2015 № 41/295-V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годы", (зарегистрировано в Реестре государственной регистрации нормативных правовых актов за номером 3589)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Курчатов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1 155 469,0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750 139,0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8 021,0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16 353,0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380 956,0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1 208 307,6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- 52 838,6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52 838,6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решения Курчатовского городского маслихата Восточно-Казахстанской области от 07.04.2015 </w:t>
      </w:r>
      <w:r>
        <w:rPr>
          <w:rFonts w:ascii="Times New Roman"/>
          <w:b w:val="false"/>
          <w:i w:val="false"/>
          <w:color w:val="ff0000"/>
          <w:sz w:val="28"/>
        </w:rPr>
        <w:t>№ 34/249-V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с изменениями, внесенными решениями Курчатовского городского маслихата Восточно-Казахстанской области от 17.07.2015 </w:t>
      </w:r>
      <w:r>
        <w:rPr>
          <w:rFonts w:ascii="Times New Roman"/>
          <w:b w:val="false"/>
          <w:i w:val="false"/>
          <w:color w:val="ff0000"/>
          <w:sz w:val="28"/>
        </w:rPr>
        <w:t>№ 37/270-V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09.09.2015 </w:t>
      </w:r>
      <w:r>
        <w:rPr>
          <w:rFonts w:ascii="Times New Roman"/>
          <w:b w:val="false"/>
          <w:i w:val="false"/>
          <w:color w:val="ff0000"/>
          <w:sz w:val="28"/>
        </w:rPr>
        <w:t>№ 38/280-V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15.10.2015 </w:t>
      </w:r>
      <w:r>
        <w:rPr>
          <w:rFonts w:ascii="Times New Roman"/>
          <w:b w:val="false"/>
          <w:i w:val="false"/>
          <w:color w:val="ff0000"/>
          <w:sz w:val="28"/>
        </w:rPr>
        <w:t>№ 39/285-V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15.10.2015 </w:t>
      </w:r>
      <w:r>
        <w:rPr>
          <w:rFonts w:ascii="Times New Roman"/>
          <w:b w:val="false"/>
          <w:i w:val="false"/>
          <w:color w:val="ff0000"/>
          <w:sz w:val="28"/>
        </w:rPr>
        <w:t>№ 39/285-V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22.12.2015 </w:t>
      </w:r>
      <w:r>
        <w:rPr>
          <w:rFonts w:ascii="Times New Roman"/>
          <w:b w:val="false"/>
          <w:i w:val="false"/>
          <w:color w:val="ff0000"/>
          <w:sz w:val="28"/>
        </w:rPr>
        <w:t>№ 41/292-V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Принять к исполнению на 2015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индивидуального подоходного налога с доходов иностранных граждан, облагаемых у источника выплаты в размере 94,0%,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3589).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– в редакции решения Курчатовского городского маслихата Восточно-Казахстанской области от 17.03.2015 </w:t>
      </w:r>
      <w:r>
        <w:rPr>
          <w:rFonts w:ascii="Times New Roman"/>
          <w:b w:val="false"/>
          <w:i w:val="false"/>
          <w:color w:val="ff0000"/>
          <w:sz w:val="28"/>
        </w:rPr>
        <w:t>№ 33/232-V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городском бюджете на 2015 год объем субвенции, передаваемой из областного бюджета, в сумме 103 737,0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местного исполнительного органа города на 2015 год в сумме 14 400,0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 перечень городских бюджетных программ, не подлежащих секвестру в процессе исполнения городского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Предусмотреть в городском бюджете на 2015 год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26 106,0 тысяч тенге - на социальную помощь отдельным категориям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3 156,9 тысяч тенге -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19 912,0 тысяч тенге - на дополнительное образование для детей и юношества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1536,0 тысяч тенге - на применение и временное хранение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2000,0 тысяч тенге - на разработку и изготовление социально-значимой рекламы, информационных печатных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2 481,1 тысяч тенге – на приобретение и доставку учебников, учебно-методических комплексов для государственных учреждений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– в редакции решения Курчатовского городского маслихата Восточно-Казахстанской области от 15.10.2015 </w:t>
      </w:r>
      <w:r>
        <w:rPr>
          <w:rFonts w:ascii="Times New Roman"/>
          <w:b w:val="false"/>
          <w:i w:val="false"/>
          <w:color w:val="ff0000"/>
          <w:sz w:val="28"/>
        </w:rPr>
        <w:t>№ 39/285-V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Предусмотреть в городском бюджете на 2015 год целевые трансферты на развитие из областного бюджета в сумме 40 700,0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18 000,0 тысяч тенге – на разработку проектно-сметной документации на реконструкцию сетей водоснабжения в городе Курчатов ВКО;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22 700,0 тысяч тенге – на разработку проектно-сметной документации на реконструкцию систем канализации с магистральным коллектором в городе Курчатов ВКО.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городском бюджете на 2015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29 150,0 тысяч тенге –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45 328,0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11 141,0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671,0 тысяч тенге – на обеспечение прав и улучшение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2 097,0 тысяч тенге – на внедрение обусловленной денежной помощи семьям, имеющим доходы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3 157,0 тысяч тенге –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107,0 тысяч тенге –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1 122,0 тысяч тенге –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4 039,0 тысяч тенге – на содержание подразделений местных исполнительных органов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– в редакции решения Курчатовского городского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41/292-V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городском бюджете на 2015 год целевые текущие трансферты из республиканского бюджета на реализацию мероприятий в рамках программы развития моногородов в сумме 35 866,0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13 042,0 тысяч тенге - на субсидирование процентной ставки по кредитам банков для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4 000,0 тысяч тенге - на предоставление грантов на развитие новых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18 824,0 тысяч тенге – на текущее обустройство моногородов.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– в редакции решения Курчатовского городского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41/292-V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Предусмотреть в городском бюджете на 2015 год кредиты из республиканского бюджета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в сумме 18 000,0 тысяч тенге – для микрокредитования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Киселева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30/206-V</w:t>
            </w:r>
          </w:p>
        </w:tc>
      </w:tr>
    </w:tbl>
    <w:bookmarkStart w:name="z5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Курчатовского городского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41/292-V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7"/>
        <w:gridCol w:w="641"/>
        <w:gridCol w:w="5387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1 155 469,0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9"/>
        <w:gridCol w:w="464"/>
        <w:gridCol w:w="1177"/>
        <w:gridCol w:w="1177"/>
        <w:gridCol w:w="5168"/>
        <w:gridCol w:w="3495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1 208 307,6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496 400,2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100 139,9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100 139,9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54 811,9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375 473,5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375 473,5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320 776,6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86 763,1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60 749,8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60 749,8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174 074,3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107 702,8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107 702,8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106 606,3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97 381,3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97 381,3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30/206-V</w:t>
            </w:r>
          </w:p>
        </w:tc>
      </w:tr>
    </w:tbl>
    <w:bookmarkStart w:name="z25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7"/>
        <w:gridCol w:w="641"/>
        <w:gridCol w:w="5387"/>
        <w:gridCol w:w="4534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1 019 922,0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842 748,0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283 862,0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283 862,0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органанми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88"/>
        <w:gridCol w:w="1186"/>
        <w:gridCol w:w="1186"/>
        <w:gridCol w:w="5149"/>
        <w:gridCol w:w="3455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1 019 922,0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335 197,0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335 197,0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меропритяий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30/206-V</w:t>
            </w:r>
          </w:p>
        </w:tc>
      </w:tr>
    </w:tbl>
    <w:bookmarkStart w:name="z4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1098"/>
        <w:gridCol w:w="642"/>
        <w:gridCol w:w="5377"/>
        <w:gridCol w:w="4541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1 357 788,0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 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 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 подоходный 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 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 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 на 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 на 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 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 на транспортные 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 земельный 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 налоги на товары, работы и 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 за использование природных и других 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 за ведение предпринимательской и профессиональной 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 платежи, взимаемые за совершение юридически значимых действий и (или) выдачу документов уполномоченными на то государственными органанми или должностными 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 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 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 от государственной 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 от аренды имущества, находящегося в государственной 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 по кредитам, выданным из государственного 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неналоговые 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неналоговые 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 от продажи основного 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 государственного имущества, закрепленного за государственными 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 государственного имущества, закрепленного за государственными 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 земли и нематериальных 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 земли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 нематериальных 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 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392 426,0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 из вышестоящих органов государственного 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392 426,0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 из областного 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392 426,0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482"/>
        <w:gridCol w:w="1170"/>
        <w:gridCol w:w="1170"/>
        <w:gridCol w:w="5243"/>
        <w:gridCol w:w="3410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1 357 788,0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 услуги общего 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 исполнительные и другие органы, выполняющие общие функции государственного 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маслихата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маслихата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финансов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 в области исполнения бюджета и управления коммунальной собственностью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оценки имущества в целях 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 и статистическая 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экономики и бюджетного планирования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 в области формирования и развития экономической политики, системы государственного планирования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государственные услуги общего 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жилищно-коммунального хозяйства, пассажирского транспорта и автомобильных дорог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 на местном уровне в области жилищно-коммунального хозяйства, пассажирского транспорта и автомобильных 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образования, физической культуры и спорта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отдела образования, физической культуры и 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предпринимательства, промышленности и туризма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 на местном уровне в области развития предпринимательства, промышленности и 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 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 в рамках исполнения всеобщей воинской 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 порядок, безопасность, правовая, судебная, уголовно-исполнительная 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услуги в области общественного порядка и 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жилищно-коммунального хозяйства, пассажирского транспорта и автомобильных дорог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безопасности дорожного движения в населенных 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469 294,0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 воспитание и 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образования, физической кульуры и спорта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деятельности организаций дошкольного воспитания и 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 основное среднее и общее среднее 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337 423,0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образования, физической культуры и спорта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337 423,0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 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308 594,0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 образование для детей и 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услуги в области 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образования, физической культуры и спорта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 и доставка учебников, учебно-методических комплексов для государственных учреждений образования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 выплата денежных средств опекунам (попечителям) на содержание ребенка-сироты (детей-сирот), и ребенка (детей), оставшегося без попечения родителей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подведомственных государственных учреждений и 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 помощь и социальное 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 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занятости и социальных программ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 адресная социальная 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 жилищной 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 помощь отдельным категориям нуждающихся граждан по решениям местных представительных 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 обеспечение детей-инвалидов, воспитывающихся и обучающихся на 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 социальной помощи нуждающимся гражданам на 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 пособия на детей до 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нуждающихся инвалидов обязательными гигиеническими средствами и предоставление услуг специалистами жестового языка, индивидуальными помощниками в соответствии с индивидуальной программой реабилитации инвалида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услуги в области социальной помощи и социального 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занятости и социальных программ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 на местном уровне в области обеспечения занятости и реализации социальных программ для 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 услуг по зачислению, выплате и доставке пособий и других социальных 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 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 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жилищно-коммунального хозяйства, пассажирского транспорта и автомобильных дорог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 технических паспортов на объекты 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 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жилищно-коммунального хозяйства, пассажирского транспорта и автомобильных дорог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 системы водоснабжения и 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населенных 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жилищно-коммунального хозяйства, пассажирского транспорта и автомобильных дорог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в населенных 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 мест захоронений и захоронение 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 спорт, туризм и информационное 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 в области 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культуры и развития языков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культурно-досуговой 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образования, физической культуры и спорта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спортивных соревнований на районном (города областного значения) 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 и участие членов сборных команд района (города областного значения) по различным видам спорта на областных спортивных 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 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культуры и развития языков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 районных (городских) 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государственного языка и других языков народа 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внутренней политики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проведению государственной информационной политики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услуги по организации культуры, спорта, туризма и информационного 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культуры и развития языков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 на местном уровне в области развития языков и 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подведомственных государственных учреждений и 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внутренней политики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 на местном уровне в области информации, укрепления государственности и формирования социального оптимизма 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 водное, лесное, рыбное хозяйство, особо охраняемые природные территории, охрана окружающей среды и животного мира, земельные 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 хозяйство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сельского хозяйства, ветеринарии и земельных отношений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 на местном уровне в сфере сельского хозяйства, ветеринарии и земельных отношений на территории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отлова и уничтожения бродячих собак и 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меропритяий по идентификации сельскохозяйственных 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услуги в области сельского, водного, лесного, рыбного хозяйства, охраны окружающей среды и земельных 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сельского хозяйства, ветеринарии и земельных отношений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противоэпизоотических 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 архитектурная, градостроительная и строительная 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 градостроительная и строительная 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строительства, архитектуры и градостроительства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 в области строительства, архитектуры и градостроительства на местном 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 и 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 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жилищно-коммунального хозяйства, пассажирского транспорта и автомобильных дорог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функционирования автомобильных 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408 826,0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408 826,0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финансов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 местного исполнительного органа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строительства, архитектуры и градостроительства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392 426,0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бюджетных инвестиционных проектов в 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392 426,0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 Чистое бюджетное 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 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 бюджетных 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 Сальдо по операциям с финансовыми 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 финансовых 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 от продажи финансовых активов 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 Дефицит (профицит) 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 Финансирование дефицита (использование профицита) 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 к 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 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 от 23 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года № 30/206-V</w:t>
            </w:r>
          </w:p>
        </w:tc>
      </w:tr>
    </w:tbl>
    <w:bookmarkStart w:name="z58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 местных бюджетных программ, не подлежащих секвестру в процессе исполнения городского бюджета на 2015 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2800"/>
        <w:gridCol w:w="2800"/>
        <w:gridCol w:w="5547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образования, физической культуры и спорта района (города областного 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 обучение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