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b793" w14:textId="79f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и увеличение размеров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апреля 2014 года N 17-8. Зарегистрировано Департаментом юстиции Восточно-Казахстанской области 20 мая 2014 года № 3348. Утратило силу - решением Курчумского районного маслихата Восточно-Казахстанской области от 25 апреля 2018 года № 22/10-VI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Курчумского районного маслихата Восточно-Казахстанской области от 25.04.2018 </w:t>
      </w:r>
      <w:r>
        <w:rPr>
          <w:rFonts w:ascii="Times New Roman"/>
          <w:b w:val="false"/>
          <w:i w:val="false"/>
          <w:color w:val="ff0000"/>
          <w:sz w:val="28"/>
        </w:rPr>
        <w:t>№ 22/10-VI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числе,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относящиеся к Курчумскому району, близлежащим населенным пунктам определить село Курчум.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Азимбаев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Курчумского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Абилмажинов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17 - 8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зависимости от вида</w:t>
      </w:r>
      <w:r>
        <w:br/>
      </w:r>
      <w:r>
        <w:rPr>
          <w:rFonts w:ascii="Times New Roman"/>
          <w:b/>
          <w:i w:val="false"/>
          <w:color w:val="000000"/>
        </w:rPr>
        <w:t>автостоянок (паркингов) по Курчумскому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8235"/>
        <w:gridCol w:w="2281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17 - 8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ставки налога на земли, выделенные под</w:t>
      </w:r>
      <w:r>
        <w:br/>
      </w:r>
      <w:r>
        <w:rPr>
          <w:rFonts w:ascii="Times New Roman"/>
          <w:b/>
          <w:i w:val="false"/>
          <w:color w:val="000000"/>
        </w:rPr>
        <w:t>автостоянки (паркинги), в зависимости от категории</w:t>
      </w:r>
      <w:r>
        <w:br/>
      </w:r>
      <w:r>
        <w:rPr>
          <w:rFonts w:ascii="Times New Roman"/>
          <w:b/>
          <w:i w:val="false"/>
          <w:color w:val="000000"/>
        </w:rPr>
        <w:t>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ставки налога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