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b1ea" w14:textId="caeb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25 июля 2006 года № 66 "Об утверждении Правил выбора внешних управляющих активами Национального фонда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декабря 2014 года № 253. Зарегистрировано в Министерстве юстиции Республики Казахстан 12 февраля 2015 года № 10237. Утратило силу постановлением Правления Национального Банка Республики Казахстан от 30 мая 2016 года № 126.</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30.05.2016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июля 2006 года № 66 "Об утверждении Правил выбора внешних управляющих активами Национального фонда Республики Казахстан" (зарегистрированное в Реестре государственной регистрации нормативных правовых актов под № 4360)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выбора внешних управляющих активами Национального фонда Республики Казахстан, утвержденных указанным постановлением:</w:t>
      </w:r>
    </w:p>
    <w:bookmarkEnd w:id="2"/>
    <w:bookmarkStart w:name="z4"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регулируют общий порядок и условия передачи части активов Национального фонда Республики Казахстан (далее - Фонд) во внешнее или внешнее транзитное управление зарубежным банкам и специализированным организациям по управлению активами.";</w:t>
      </w:r>
    </w:p>
    <w:bookmarkStart w:name="z6"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активное управление активами - вид управления, при котором допускается превышение 0.5 (ноль целых пять десятых) процентного порога значения отклонения доходности (tracking error);";</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уполномоченное подразделение - Департамент монетарных операций и управления активами Национального Банка.";</w:t>
      </w:r>
    </w:p>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"3. Основные условия внешнего и внешнего транзитного управления";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Общий допустимый объем Фонда, передаваемого во внешнее управление одному внешнему управляющему, составляет не более 10 процентов сберегательного портфеля Фонда.";</w:t>
      </w:r>
    </w:p>
    <w:bookmarkStart w:name="z11" w:id="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"4. Порядок принятия решения и передачи активов Фонда во внешнее или внешнее транзитное управление";</w:t>
      </w:r>
    </w:p>
    <w:bookmarkStart w:name="z12" w:id="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xml:space="preserve">
      "Компания, не удовлетворяющая критериям, установленным </w:t>
      </w:r>
      <w:r>
        <w:rPr>
          <w:rFonts w:ascii="Times New Roman"/>
          <w:b w:val="false"/>
          <w:i w:val="false"/>
          <w:color w:val="000000"/>
          <w:sz w:val="28"/>
        </w:rPr>
        <w:t>пунктами 19-1</w:t>
      </w:r>
      <w:r>
        <w:rPr>
          <w:rFonts w:ascii="Times New Roman"/>
          <w:b w:val="false"/>
          <w:i w:val="false"/>
          <w:color w:val="000000"/>
          <w:sz w:val="28"/>
        </w:rPr>
        <w:t xml:space="preserve"> и </w:t>
      </w:r>
      <w:r>
        <w:rPr>
          <w:rFonts w:ascii="Times New Roman"/>
          <w:b w:val="false"/>
          <w:i w:val="false"/>
          <w:color w:val="000000"/>
          <w:sz w:val="28"/>
        </w:rPr>
        <w:t>19-2</w:t>
      </w:r>
      <w:r>
        <w:rPr>
          <w:rFonts w:ascii="Times New Roman"/>
          <w:b w:val="false"/>
          <w:i w:val="false"/>
          <w:color w:val="000000"/>
          <w:sz w:val="28"/>
        </w:rPr>
        <w:t xml:space="preserve"> настоящих Правил, утверждается в качестве внешнего управляющего на основании решения Правления Национального Банка.";</w:t>
      </w:r>
    </w:p>
    <w:bookmarkStart w:name="z13" w:id="8"/>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19-1</w:t>
      </w:r>
      <w:r>
        <w:rPr>
          <w:rFonts w:ascii="Times New Roman"/>
          <w:b w:val="false"/>
          <w:i w:val="false"/>
          <w:color w:val="000000"/>
          <w:sz w:val="28"/>
        </w:rPr>
        <w:t xml:space="preserve"> и </w:t>
      </w:r>
      <w:r>
        <w:rPr>
          <w:rFonts w:ascii="Times New Roman"/>
          <w:b w:val="false"/>
          <w:i w:val="false"/>
          <w:color w:val="000000"/>
          <w:sz w:val="28"/>
        </w:rPr>
        <w:t>19-2</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"19-1. Обязательные критерии для мандатов, в которых объем передаваемых активов одному внешнему управляющему превышает эквивалент 300 (трехсот) миллионов долларов США:</w:t>
      </w:r>
    </w:p>
    <w:p>
      <w:pPr>
        <w:spacing w:after="0"/>
        <w:ind w:left="0"/>
        <w:jc w:val="both"/>
      </w:pPr>
      <w:r>
        <w:rPr>
          <w:rFonts w:ascii="Times New Roman"/>
          <w:b w:val="false"/>
          <w:i w:val="false"/>
          <w:color w:val="000000"/>
          <w:sz w:val="28"/>
        </w:rPr>
        <w:t>
      1) не менее 10 (десяти) лет опыта работы с финансовыми инструментами, в которые предполагается инвестировать активы Фонда, из которых не менее 5 (пяти) лет опыта работы по объявленному типу мандата.</w:t>
      </w:r>
    </w:p>
    <w:p>
      <w:pPr>
        <w:spacing w:after="0"/>
        <w:ind w:left="0"/>
        <w:jc w:val="both"/>
      </w:pPr>
      <w:r>
        <w:rPr>
          <w:rFonts w:ascii="Times New Roman"/>
          <w:b w:val="false"/>
          <w:i w:val="false"/>
          <w:color w:val="000000"/>
          <w:sz w:val="28"/>
        </w:rPr>
        <w:t>
      Если объявлен тендер по выбору внешнего управляющего по глобальному мандату, а участник тендера имеет под управлением исключительно аналогичные региональные мандаты, то не менее 5 (пяти) лет опыта работы по региональным мандатам, которые составляют не менее 75 (семидесяти пяти) процентов охвата глобального мандата;</w:t>
      </w:r>
    </w:p>
    <w:p>
      <w:pPr>
        <w:spacing w:after="0"/>
        <w:ind w:left="0"/>
        <w:jc w:val="both"/>
      </w:pPr>
      <w:r>
        <w:rPr>
          <w:rFonts w:ascii="Times New Roman"/>
          <w:b w:val="false"/>
          <w:i w:val="false"/>
          <w:color w:val="000000"/>
          <w:sz w:val="28"/>
        </w:rPr>
        <w:t>
      2) размер активов под управлением: внешний управляющий имеет под управлением совокупные активы клиентов (в том числе, находящихся на консультационном обслуживании) не менее эквивалента 25 (двадцати пяти) миллиардов долларов США;</w:t>
      </w:r>
    </w:p>
    <w:p>
      <w:pPr>
        <w:spacing w:after="0"/>
        <w:ind w:left="0"/>
        <w:jc w:val="both"/>
      </w:pPr>
      <w:r>
        <w:rPr>
          <w:rFonts w:ascii="Times New Roman"/>
          <w:b w:val="false"/>
          <w:i w:val="false"/>
          <w:color w:val="000000"/>
          <w:sz w:val="28"/>
        </w:rPr>
        <w:t>
      3) размер активов по рассматриваемому типу мандата под управлением: внешний управляющий имеет по рассматриваемому типу мандата совокупные активы клиентов не менее эквивалента 1 (одного) миллиарда долларов США.</w:t>
      </w:r>
    </w:p>
    <w:p>
      <w:pPr>
        <w:spacing w:after="0"/>
        <w:ind w:left="0"/>
        <w:jc w:val="both"/>
      </w:pPr>
      <w:r>
        <w:rPr>
          <w:rFonts w:ascii="Times New Roman"/>
          <w:b w:val="false"/>
          <w:i w:val="false"/>
          <w:color w:val="000000"/>
          <w:sz w:val="28"/>
        </w:rPr>
        <w:t>
      Если объявлен тендер по выбору внешнего управляющего по глобальному мандату, а участник тендера имеет под управлением исключительно аналогичные региональные мандаты, то не менее эквивалента 1 (одного) миллиарда долларов США по региональным мандатам, которые составляют не менее 75 (семидесяти пяти) процентов охвата глобального мандата.</w:t>
      </w:r>
    </w:p>
    <w:p>
      <w:pPr>
        <w:spacing w:after="0"/>
        <w:ind w:left="0"/>
        <w:jc w:val="both"/>
      </w:pPr>
      <w:r>
        <w:rPr>
          <w:rFonts w:ascii="Times New Roman"/>
          <w:b w:val="false"/>
          <w:i w:val="false"/>
          <w:color w:val="000000"/>
          <w:sz w:val="28"/>
        </w:rPr>
        <w:t>
      19-2. Обязательные критерии для специализированных мандатов, в которых объем передаваемых активов одному внешнему управляющему не превышает эквивалент 300 (трехсот) миллионов долларов США:</w:t>
      </w:r>
    </w:p>
    <w:p>
      <w:pPr>
        <w:spacing w:after="0"/>
        <w:ind w:left="0"/>
        <w:jc w:val="both"/>
      </w:pPr>
      <w:r>
        <w:rPr>
          <w:rFonts w:ascii="Times New Roman"/>
          <w:b w:val="false"/>
          <w:i w:val="false"/>
          <w:color w:val="000000"/>
          <w:sz w:val="28"/>
        </w:rPr>
        <w:t>
      1) не менее 5 (пяти) лет опыта работы с финансовыми инструментами, в которые предполагается инвестировать активы Фонда, из которых не менее 3 (трех) лет опыта работы по объявленному типу мандата.</w:t>
      </w:r>
    </w:p>
    <w:p>
      <w:pPr>
        <w:spacing w:after="0"/>
        <w:ind w:left="0"/>
        <w:jc w:val="both"/>
      </w:pPr>
      <w:r>
        <w:rPr>
          <w:rFonts w:ascii="Times New Roman"/>
          <w:b w:val="false"/>
          <w:i w:val="false"/>
          <w:color w:val="000000"/>
          <w:sz w:val="28"/>
        </w:rPr>
        <w:t>
      Если объявлен тендер по выбору внешнего управляющего по глобальному мандату, а участник тендера имеет под управлением исключительно аналогичные региональные мандаты, то не менее 3 (трех) лет опыта работы по региональным мандатам, которые составляют не менее 75 (семидесяти пяти) процентов охвата глобального мандата;</w:t>
      </w:r>
    </w:p>
    <w:p>
      <w:pPr>
        <w:spacing w:after="0"/>
        <w:ind w:left="0"/>
        <w:jc w:val="both"/>
      </w:pPr>
      <w:r>
        <w:rPr>
          <w:rFonts w:ascii="Times New Roman"/>
          <w:b w:val="false"/>
          <w:i w:val="false"/>
          <w:color w:val="000000"/>
          <w:sz w:val="28"/>
        </w:rPr>
        <w:t>
      2) размер активов под управлением: внешний управляющий имеет под управлением совокупные активы клиентов (в том числе, находящихся на консультационном обслуживании), в размере не менее эквивалента 3 (трех) миллиардов долларов США, за исключением внешних управляющих по мандатам альтернативных инструментов, для которых размер совокупных активов клиентов под управлением составляет не менее 1 (одного) миллиарда долларов США;</w:t>
      </w:r>
    </w:p>
    <w:p>
      <w:pPr>
        <w:spacing w:after="0"/>
        <w:ind w:left="0"/>
        <w:jc w:val="both"/>
      </w:pPr>
      <w:r>
        <w:rPr>
          <w:rFonts w:ascii="Times New Roman"/>
          <w:b w:val="false"/>
          <w:i w:val="false"/>
          <w:color w:val="000000"/>
          <w:sz w:val="28"/>
        </w:rPr>
        <w:t>
      3) размер активов по рассматриваемому типу мандата под управлением: внешний управляющий имеет по рассматриваемому типу мандата совокупные активы клиентов не менее эквивалента 150 (ста пятидесяти) миллионов долларов США.</w:t>
      </w:r>
    </w:p>
    <w:p>
      <w:pPr>
        <w:spacing w:after="0"/>
        <w:ind w:left="0"/>
        <w:jc w:val="both"/>
      </w:pPr>
      <w:r>
        <w:rPr>
          <w:rFonts w:ascii="Times New Roman"/>
          <w:b w:val="false"/>
          <w:i w:val="false"/>
          <w:color w:val="000000"/>
          <w:sz w:val="28"/>
        </w:rPr>
        <w:t>
      Если объявлен тендер по выбору внешнего управляющего по глобальному мандату, а участник тендера имеет под управлением исключительно аналогичные региональные мандаты, то не менее эквивалента 150 (ста пятидесяти) миллионов долларов США по региональным мандатам, которые составляют не менее 75 (семидесяти пяти) процентов охвата глобального мандата.</w:t>
      </w:r>
    </w:p>
    <w:p>
      <w:pPr>
        <w:spacing w:after="0"/>
        <w:ind w:left="0"/>
        <w:jc w:val="both"/>
      </w:pPr>
      <w:r>
        <w:rPr>
          <w:rFonts w:ascii="Times New Roman"/>
          <w:b w:val="false"/>
          <w:i w:val="false"/>
          <w:color w:val="000000"/>
          <w:sz w:val="28"/>
        </w:rPr>
        <w:t xml:space="preserve">
      После начала действия специализированного мандата одному внешнему управляющему по результатам его управления передаются активы в размере, превышающем 300 (триста) миллионов долларов США, но не более ограничения, указанного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"20. При необходимости уполномоченное подразделение обращается с запросом о результатах и качестве управления внешнего управляющего к его клиентам.";</w:t>
      </w:r>
    </w:p>
    <w:bookmarkStart w:name="z15" w:id="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"5. Условия соглашения о передаче активов во внешнее управление";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"29. При передаче активов во внешнее управление учитывается переходный период по переводу активов из одного вида в другой (transition period). Длительность переходного периода не превышает 15 (пятнадцати) рабочих дней.";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"31. Условия и ограничения соглашения о передаче активов во внешнее управление определяются в соответствии с условиями и ограничениями, установленными в рамках осуществления Национальным Банком инвестиционных операций Фонда.";</w:t>
      </w:r>
    </w:p>
    <w:bookmarkStart w:name="z18" w:id="1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"6. Результаты внешнего управления и мониторинг".</w:t>
      </w:r>
    </w:p>
    <w:bookmarkStart w:name="z19" w:id="11"/>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_________   </w:t>
      </w:r>
    </w:p>
    <w:p>
      <w:pPr>
        <w:spacing w:after="0"/>
        <w:ind w:left="0"/>
        <w:jc w:val="both"/>
      </w:pPr>
      <w:r>
        <w:rPr>
          <w:rFonts w:ascii="Times New Roman"/>
          <w:b w:val="false"/>
          <w:i w:val="false"/>
          <w:color w:val="000000"/>
          <w:sz w:val="28"/>
        </w:rPr>
        <w:t>
      13 января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