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4182" w14:textId="2504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апреля 2014 года № 61. Зарегистрировано Департаментом юстиции Западно-Казахстанской области 15 мая 2014 года № 3527. Утратило силу - постановлением акимата Западно-Казахстанской области от 21 июля 2015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 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"Об утверждении стандартов государственных услуг в области животноводства"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Западно-Казахстанской области А. К. Утегулова.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 № 61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</w:t>
      </w:r>
      <w:r>
        <w:br/>
      </w:r>
      <w:r>
        <w:rPr>
          <w:rFonts w:ascii="Times New Roman"/>
          <w:b/>
          <w:i w:val="false"/>
          <w:color w:val="000000"/>
        </w:rPr>
        <w:t>личного подсобного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справок о наличии личного подсобного хозяйства" (далее – государственная услуга) оказывается местными исполнительными органами области, акимами районов, города областного значения, города районного значения, поселка, села, сельского округа (далее – услугодатель), а также через центры обслуживания населения (далее – центр) по адресам, указанным на официальных сайтах Министерства сельского хозяйства Республики Казахстан www.minagri.gov.kz, центра - www.con.gov.kz и через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и (или) в центр справка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обращении через портал: справка о наличии личного подсобного хозяйства,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к услугодателю и в центр заявление по форме согласно приложению к стандарту государственной услуги "Выдача справок о наличии личного подсобного хозяйства", утвержденное постановлением Правительства Республики Казахстан от 31 декабря 2013 года № 1542 "Об утверждении стандартов государственных услуг в области животноводства"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является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ответственный исполнитель услугодателя с момента подачи необходимых документов, указанных услугополучателем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входящими документами и определяет ответственного исполнителя услугодателя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необходимые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поступившие документы, готовит проект справки услугополучателю или мотивированный отказ, который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услугодателя с момента подачи необходимых документов в течении 10 минут осуществляет прием, регистрацию и направляет их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5 минут ознакамливается с входящими документами и определяет ответственного исполнителя услугодателя для выдачи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15 минут рассматривает поступившие документы, готовит проект справки услугополучателю или мотивированный отказ, подписывает руководителем услугодателя и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центра и</w:t>
      </w:r>
      <w:r>
        <w:br/>
      </w:r>
      <w:r>
        <w:rPr>
          <w:rFonts w:ascii="Times New Roman"/>
          <w:b/>
          <w:i w:val="false"/>
          <w:color w:val="000000"/>
        </w:rPr>
        <w:t>(или) портала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Описание порядка обращения в центр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государственной услуги подает необходимые документы и заявление оператору центра согласно приложению к стандарту, которое осуществляется в операционном зале посредством "безбарьерного" обслуживания путем электронной очереди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оператора центра в Автоматизированное рабочее место Интегрированного информационной системы Центра обслуживания населения (далее – АРМ ИИС ЦОН) логина и пароля (процесс авторизации) для оказания услуги (в течении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выбор оператором центра услуги, вывод на экран формы запроса для оказания услуги и ввод оператором центра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направление запроса через шлюз электронного правительства (далее – ШЭП) в государственная база данных физических лиц (далее - ГБД ФЛ) или государственная база данных юридических лиц (далее - 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условие 1 – проверка наличия данных услугополучателя в ГБД ФЛ/ГБД ЮЛ, данных доверенности в ЕНИС (в течении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5 - направление электронного документа (запроса услугополучателя) удостоверенного (подписанного) ЭЦП оператора центра через ШЭП в автоматизированном рабочем месте регионального шлюза электронного правительства (далее - АРМ РШЭП) (в течении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в оказании государственной услуги через центр в графической форме диаграммой №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процесса получения результата оказания государственной услуги через центр с указанием длительности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6 – регистрация электронного документа в АРМ РШЭП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2 – проверка (обработка) услугодателем соответствия приложенных услугополучателем документов, указанных в стандарте, которые является основанием для оказания услуги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7 - формирование сообщения об отказе в запрашиваемой услуге в связи с имеющимися нарушениями в документах услугополучателя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8 – получение услугополучателем через оператора центра результата услуги (справка о наличии личного подсобного хозяйства либо письменный мотивированный ответ об отказе) сформированной АРМ РШЭП (в течении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 (или)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Порядок обжалования решений, действий (бездействия) услугодателя и (или) их должностных лиц, центров и (или) их работников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12 в соответствии с постановлением акимата Западно-Казахстанской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через центра обслуживания населения,</w:t>
      </w:r>
      <w:r>
        <w:br/>
      </w:r>
      <w:r>
        <w:rPr>
          <w:rFonts w:ascii="Times New Roman"/>
          <w:b/>
          <w:i w:val="false"/>
          <w:color w:val="000000"/>
        </w:rPr>
        <w:t>в графической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справок о</w:t>
      </w:r>
      <w:r>
        <w:br/>
      </w:r>
      <w:r>
        <w:rPr>
          <w:rFonts w:ascii="Times New Roman"/>
          <w:b/>
          <w:i w:val="false"/>
          <w:color w:val="000000"/>
        </w:rPr>
        <w:t>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4 в соответствии с постановлением акимата Западно-Казахстанской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