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46ac" w14:textId="7284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 общераспространенных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июля 2014 года N 166. Зарегистрировано Департаментом юстиции Западно-Казахстанской области от 24 июля 2014 года N 3593. Утратило силу - постановлением акимата Западно-Казахстанской области от 29 сентября 2015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Западно-Казахстанской области Каримова М.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166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</w:t>
      </w:r>
      <w:r>
        <w:br/>
      </w:r>
      <w:r>
        <w:rPr>
          <w:rFonts w:ascii="Times New Roman"/>
          <w:b/>
          <w:i w:val="false"/>
          <w:color w:val="000000"/>
        </w:rPr>
        <w:t>контрактов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"Заключение, регистрация и хранение контрактов на разведку, добычу общераспространенных полезных ископаемых"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осуществляется на основании стандарта государственной услуги "Заключение, регистрация и хранение контрактов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– услугодатель) расположенного по адресу Западно - Казахстанская область, город Уральск, улица Х. Чурина, дом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подписанный и зарегистрированный контракт на разведку, добычу общераспространенных полезных ископаемых (далее – контракт),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заявление в произвольной форме,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 и его результат,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документов услугополучателем осуществляет прием и их регистрацию в журнале регистрации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рабочего дня ознакамливается с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необходимые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документы, осуществляет проверку полноты документов и готовит контракт, либо мотивированный ответ об отказе в оказании государственной услуги в течение 11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контракт, либо мотивированный ответ об отказе в оказании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рассматривает контракт, либо мотивированный ответ об отказе в оказании государственной услуги в течение 1 рабочего дня и подписывает.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подписанный контракт, либо мотивированный ответ об отказе в оказании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регистрирует подписанный контракт в журнале регистрации контрактов в течение 2 рабочих дней 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выдает услугополучателю контракт,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подразделений,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"Заключение, регистрация и хранение контрактов на разведку, добычу общераспространенных полезных ископаемых"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Государственная услуга через центры обслуживания населения (далее – ЦОН) и иные услугодатели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Обжалование решений, действий (бездействий) услугодателя и (или) их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(сотрудниками)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"Заключение,</w:t>
      </w:r>
      <w:r>
        <w:br/>
      </w:r>
      <w:r>
        <w:rPr>
          <w:rFonts w:ascii="Times New Roman"/>
          <w:b/>
          <w:i w:val="false"/>
          <w:color w:val="000000"/>
        </w:rPr>
        <w:t>регистрация и хранение контрактов на</w:t>
      </w:r>
      <w:r>
        <w:br/>
      </w:r>
      <w:r>
        <w:rPr>
          <w:rFonts w:ascii="Times New Roman"/>
          <w:b/>
          <w:i w:val="false"/>
          <w:color w:val="000000"/>
        </w:rPr>
        <w:t>разведку,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166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 учреждением "Управление предпринимательства и индустриально-инновационного развития Западно-Казахстанской области" (далее – услугодатель) расположенного по адресу Западно-Казахстанская область, город Уральск, улица Х. Чурина, дом 116 на основании стандарта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154 "Об утверждении стандартов государственных услуг в сфере недропользования, за исключением углеводородного сырья"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свидетельство о регистрации договора залога права недропользования (далее - свидетельство),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бесплатной основе физическим и юридическим лицам (далее - услогополучатель).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 и его результат,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документов услугополучателем осуществляет прием и их регистрацию в журнале регистрации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рабочего дня ознакамливается с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документы необходимые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поступившие документы, осуществляет проверку полноты документов и готовит свидетельство, либо мотивированный ответ об отказе в оказании государственной услуги в течение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свидетельство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рассматривает свидетельство, либо мотивированный ответ об отказе в оказании государственной услуги в течение 1 рабочего дня и подписывает.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свидетельство, либо мотивированный ответ об отказе в оказании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регистрирует свидетельство в течение 1 рабочего дня 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выдает услугополучателю свидетельство,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подразделений,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Описание порядка обращения в ЦОН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подает документы оператору ЦОН. Прием осуществляется в операционном зале посредством "безбарьерного" обслуживания путем электронной очереди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оператора ЦОН в Автоматизированное рабочее место Интегрированной информационной системы ЦОН (далее – АРМ ИИС ЦОН) логина и пароля (процесс авторизации) для оказания государственной услуги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выбор оператором ЦОН государственной услуги, вывод на экран формы запроса для оказания государственной услуги и ввод оператором ЦОН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шлюз электронного правительства (далее – ШЭП) в государственную базу данных физических (далее - ГБД ФЛ) или юридических лиц (далее -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ГБД ФЛ или ГБД ЮЛ данных доверенности в ЕНИС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ЦОН через ШЭП в автоматизированном рабочем месте регионального шлюза электронного правительства (далее - АРМ РШЭП) услугодателю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регистрация электронного документа в АРМ РШЭП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получение услугополучателем через оператора ЦОН свидетельства, сформированной АРМ РШЭП (в течении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ЦОН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Обжалование решений, действий (бездействий) услугодателя и (или) их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(сотрудниками)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договора</w:t>
      </w:r>
      <w:r>
        <w:br/>
      </w:r>
      <w:r>
        <w:rPr>
          <w:rFonts w:ascii="Times New Roman"/>
          <w:b/>
          <w:i w:val="false"/>
          <w:color w:val="000000"/>
        </w:rPr>
        <w:t>залога права недропользования на разведку,</w:t>
      </w:r>
      <w:r>
        <w:br/>
      </w:r>
      <w:r>
        <w:rPr>
          <w:rFonts w:ascii="Times New Roman"/>
          <w:b/>
          <w:i w:val="false"/>
          <w:color w:val="000000"/>
        </w:rPr>
        <w:t>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