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c3ce5" w14:textId="b1c3c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видов субсидируемых гербицидов и норм субсидий на 2014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29 июля 2014 года № 201. Зарегистрировано Департаментом юстиции Западно-Казахстанской области 18 августа 2014 года № 3613. Утратило силу постановлением акимата Западно-Казахстанской области от 5 мая 2015 года № 117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Западно-Казахстанской области от 05.05.2015 </w:t>
      </w:r>
      <w:r>
        <w:rPr>
          <w:rFonts w:ascii="Times New Roman"/>
          <w:b w:val="false"/>
          <w:i w:val="false"/>
          <w:color w:val="ff0000"/>
          <w:sz w:val="28"/>
        </w:rPr>
        <w:t>№ 117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мая 2014 года № 573 "Об утверждении Правил субсидирования стоимости гербицидов, биоагентов (энтомофагов) и биопрепаратов, предназначенных для обработки сельскохозяйственных культур в целях защиты растений"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виды субсидируемых гербицидов и нормы субсидий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литр (килограмм) гербицидов, приобретенных у поставщиков гербицидов на 2014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Западно-Казахстанской области", акимам районов и города Уральска принять необходимые меры по реализацию данного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заместителя акима области Утегулова А. 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 Н. Ногаев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_____________А. Мамытбеков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30.07.2014 год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Западно-Казахстанской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июля 2014 года № 201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субсидируемых гербицидов и</w:t>
      </w:r>
      <w:r>
        <w:br/>
      </w:r>
      <w:r>
        <w:rPr>
          <w:rFonts w:ascii="Times New Roman"/>
          <w:b/>
          <w:i w:val="false"/>
          <w:color w:val="000000"/>
        </w:rPr>
        <w:t>
нормы субсидий на 1 литр (килограмм) гербицидов,</w:t>
      </w:r>
      <w:r>
        <w:br/>
      </w:r>
      <w:r>
        <w:rPr>
          <w:rFonts w:ascii="Times New Roman"/>
          <w:b/>
          <w:i w:val="false"/>
          <w:color w:val="000000"/>
        </w:rPr>
        <w:t>
приобретенных у поставщиков гербицидов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6"/>
        <w:gridCol w:w="4655"/>
        <w:gridCol w:w="1951"/>
        <w:gridCol w:w="2505"/>
        <w:gridCol w:w="1953"/>
      </w:tblGrid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субсидируемыех гербицидов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 удешевления стоимости одной единицы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субсидий на одну единицу, тенге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Гроза, 60% к.э.(2- этилгексиловый эфир, 2,4 дихлорфеноксиуксусной кислоты, 600 г/л)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Напалм, в.р. (глифосат,540 г/л)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Аккурат, в.д.г. (метсульфурон-метил, 600 г/кг)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12001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Балерина,с.э.(2,4-Д кислоты в виде сложного 2-этилгексилового эфира, 410 г/л)+флора сулан, 7,4 г/л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Бутизан 400 КС, 40% к.с.(метазахлор,400 г/л)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Гезагард 500, с.к. (прометрин, 500 г/л)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Готрил, 24% к.э. (оксифлуорфен, 240 г/л)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Гранстар, 75% с.т.с. (трибенурон-метил,750 г/кг)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19425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Зенкор Ультра, к.с. (метрибузин, 600 г/л)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2386,5</w:t>
            </w:r>
          </w:p>
        </w:tc>
      </w:tr>
      <w:tr>
        <w:trPr>
          <w:trHeight w:val="3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Лонтрел Гранд 750, в.д.г. (клопиралид,750 г/кг)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5728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Майстер Пауэр, м.д. (форамсульфурон, 31,5 г/л + йодосульфурон-метил-натрия, 1,0 г/л + тиенкарбазон-метил, 10 г/л+ципросульфид (антидот),15 г/л)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Праймер, в.д.г. (метсульфурон-метил, 600 г/кг)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7475</w:t>
            </w:r>
          </w:p>
        </w:tc>
      </w:tr>
      <w:tr>
        <w:trPr>
          <w:trHeight w:val="34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Раундап Экстра, 54% в.р. (глифосат, 540 г/л)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Робусто, к.э. (2 этилгексиловый эфир 2,4-Д кислоты, 850 г/л)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Секатор Турбо, м.д. (йодосульфурон-метил натрия, 25 г/л + амидосульфурон, 100 г/л + мефенпир-диэтил (антидот), 250 г/кг)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3552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Торнадо 500, в.р. (глифосат, 500 г/л)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Фуроре Ультра, э.м.в. (феноксапроп-п-этил, 110 г/л)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Эллай Лайт, в.д.г. (метсульфурон-метил, 391 г/кг+ трибенурон-метил, 261 г/кг)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20091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Эстерон, к. э. (2,4-Д кислота в виде 2-этилгексилового эфира, 850 г/л)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Эстет 905, к.э. (2,4-Д кислота в виде 2-этилгексилового эфир, 905 г/л)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499,5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в.д.г.-водно-диспергируемые гранулы;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в.р.-водный раствор;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м.д.-масляная дисперсия;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к.с.-концентрат суспензии;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к.э.-концентрат эмульсии;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с.э.-суспензионная эмульсия;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с.к.-суспензионный концентрат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э.м.в.-эмульсия масляно-водная;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с.т.с.-сухая текучая суспензия;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г/л-грамм/литр;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г/кг-грамм/килограмм.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