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87c" w14:textId="218a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Бурлинском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февраля 2014 года № 18-5. Зарегистрировано Департаментом юстиции Западно-Казахстанской области 2 апреля 2014 года № 3475. Утратило силу решением Бурлинского районного маслихата Западно-Казахстанской области от 13 февраля 2020 года № 47-4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Бурлинском районе.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З. Абзалилов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18-5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</w:t>
      </w:r>
      <w:r>
        <w:br/>
      </w:r>
      <w:r>
        <w:rPr>
          <w:rFonts w:ascii="Times New Roman"/>
          <w:b/>
          <w:i w:val="false"/>
          <w:color w:val="000000"/>
        </w:rPr>
        <w:t>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</w:t>
      </w:r>
      <w:r>
        <w:br/>
      </w:r>
      <w:r>
        <w:rPr>
          <w:rFonts w:ascii="Times New Roman"/>
          <w:b/>
          <w:i w:val="false"/>
          <w:color w:val="000000"/>
        </w:rPr>
        <w:t>в Бурлинском районе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Бурлинском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Приказом Министра национальной экономики Республики Казахстан от 9 апреля 2015 года № 319 "Об 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Бурлинского районного маслихата Западно-Казахстанской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доля предельно-допустимых расходов 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расходы на содержание общего имущества объекта кондоминиума 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Государственная корпорация "Правительство для граждан" (далее – Государственная корпорация) 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27.11.2019 </w:t>
      </w:r>
      <w:r>
        <w:rPr>
          <w:rFonts w:ascii="Times New Roman"/>
          <w:b w:val="false"/>
          <w:i w:val="false"/>
          <w:color w:val="000000"/>
          <w:sz w:val="28"/>
        </w:rPr>
        <w:t>№ 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арендной платы за пользование жилищем, арендованным местным исполнительным органом в частном жилищном фонде.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Бурлинского районного маслихата Западно-Казахстанской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 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Бурлинского районного маслихата Западно-Казахстанской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 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 3-1 в соответствии с решением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решением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 исключен решением Бурлинского районного маслихата Западно-Казахстанской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 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ежемесячных взносах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 - 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решением Бурлинского районного маслихата Западно-Казахстанской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 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решением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решением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с решением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4-4 в соответствии с решением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4-5 в соответствии с решением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4-6 в соответствии с решением Бурлинского районного маслихата Западно-Казахстанской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 перерасчет ранее назначенной жилищной помощи.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предоставляется в случаях, если в членах семьи имеются трудоспособные лица, которые не работают, не учатся и не зарегистрированы в уполномоченном органе в качестве безработных, за исключением занятых воспитанием ребенка в возрасте до трех лет, лиц, осуществляющих уход за инвалидами, нуждающихся в уходе.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