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81a2" w14:textId="4c78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11 декабря 2014 года № 268. Зарегистрировано Департаментом юстиции Западно-Казахстанской области 15 января 2015 года № 3764. Утратило силу постановлением акимата Чингирлауского района Западно-Казахстанской области от 28 мая 2015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28.05.2015 </w:t>
      </w:r>
      <w:r>
        <w:rPr>
          <w:rFonts w:ascii="Times New Roman"/>
          <w:b w:val="false"/>
          <w:i w:val="false"/>
          <w:color w:val="ff0000"/>
          <w:sz w:val="28"/>
        </w:rPr>
        <w:t>№ 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 "Об утверждении Правил передачи государственного имущества в имущественный наем (аренду)"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Государственному учреждению "Отдел экономики и финансов Чингирлауского района"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Руководителю аппарата акима района (Турмагамбетову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постановления возложить на заместителя акима района Есалиева А.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декабря 2014 года № 268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</w:t>
      </w:r>
      <w:r>
        <w:br/>
      </w:r>
      <w:r>
        <w:rPr>
          <w:rFonts w:ascii="Times New Roman"/>
          <w:b/>
          <w:i w:val="false"/>
          <w:color w:val="000000"/>
        </w:rPr>
        <w:t>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расчета ставки арендной платы при передаче районного коммунального имущества в имущественный наем (аренду)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 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 –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 –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1,5 - 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 –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/12/Д/24,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-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объектов государственного нежилого фонда и сооружений, находящихся на</w:t>
      </w:r>
      <w:r>
        <w:br/>
      </w:r>
      <w:r>
        <w:rPr>
          <w:rFonts w:ascii="Times New Roman"/>
          <w:b/>
          <w:i w:val="false"/>
          <w:color w:val="000000"/>
        </w:rPr>
        <w:t>балансе районных коммунальных юридических лиц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территориальное расположение объекта, "К1"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3292"/>
        <w:gridCol w:w="5716"/>
      </w:tblGrid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тип строения, "Кт"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5863"/>
        <w:gridCol w:w="4085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вид объекта, "К2"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249"/>
        <w:gridCol w:w="2571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 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степень комфортности объекта, "К3"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7873"/>
        <w:gridCol w:w="2810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сооружений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использование объекта нанимателем, "К4"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582"/>
        <w:gridCol w:w="1837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специального,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зданиях районных коммунальных юридических лиц 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общеобразовательных школах, в средне специальных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организационно - правовую форму нанимателя, "Копф"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837"/>
        <w:gridCol w:w="1563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коэффициента, учитывающего вид деятельности нанимателя, "Пст"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819"/>
        <w:gridCol w:w="1478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Пст, 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