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391" w14:textId="ad2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правил осуществления государственного учета жилищного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февраля 2015 года № 110. Зарегистрирован в Министерстве юстиции Республики Казахстан 26 марта 2015 года № 10525.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10-12)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жилищного фонда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110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</w:t>
      </w:r>
      <w:r>
        <w:br/>
      </w:r>
      <w:r>
        <w:rPr>
          <w:rFonts w:ascii="Times New Roman"/>
          <w:b/>
          <w:i w:val="false"/>
          <w:color w:val="000000"/>
        </w:rPr>
        <w:t>правила осуществления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правила осуществления государственного учета жилищного фонда Республики Казахстан (далее - Правила) разработаны в соответствии с подпунктом 10-12)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определяют единый порядок осуществления государственного учета жилищного фонда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государственного учета жилищного фонда Республики Казахстан является получение информации о наличии, местоположении, количественном и качественном составе, техническом состоянии, уровне благоустройства и стоимости жилищ всех форм собственности и изменении этих показателей.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Жилищный фонд - находящиеся на территории Республики Казахстан жилища всех форм собственности. Жилищный фонд Республики Казахстан включает частный и государственный жилищные фонды.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жилищный фонд не входят нежилые помещения в жилых домах.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Государственный учет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учет жилищного фонда осуществляется путем ведения 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статистического регистра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фонда, формируемого на основе данных из Государственной базы данных "Регистр недвижимости" Министерства юстиции Республики Казахстан (далее - ГБД РН), из местных исполнительных органов по аварийности домов, </w:t>
      </w:r>
      <w:r>
        <w:rPr>
          <w:rFonts w:ascii="Times New Roman"/>
          <w:b w:val="false"/>
          <w:i w:val="false"/>
          <w:color w:val="000000"/>
          <w:sz w:val="28"/>
        </w:rPr>
        <w:t>похозяйственного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населенных пунктах и общегосударственных статистических наблюдений.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методических рекомендаций по ведению статистического регистра жилищного фонда, а также его ведение возлагается на Комитет по статистике Министерства национальной экономики Республики Казахстан (далее - Комитет).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информации, содержащейся в статистическом регистре жилищного фонда,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информации, подлежащей передаче из ГБД РН в Комитет,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передачи информации из ГБД РН в Комитет используется </w:t>
      </w:r>
      <w:r>
        <w:rPr>
          <w:rFonts w:ascii="Times New Roman"/>
          <w:b w:val="false"/>
          <w:i w:val="false"/>
          <w:color w:val="000000"/>
          <w:sz w:val="28"/>
        </w:rPr>
        <w:t>единая транспортная среда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органов. Передача информации осуществляется ежедневно.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информации, подлежащей обновлению в статистическом регистре жилищного фонда на основании регистрационных записей похозяйственного учета,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в статистический регистр жилищного фонда на основании информации из местных исполнительных органов по аварийности домов и общегосударственных статистических наблюдений производится в сроки, согласно плану статистических работ на соответствующий год, утверждаемому уполномоченным органом.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Статистическая информация о состоянии жилищного фонда подлежит распространению в соответствии с планом статистических работ на соответствующий год, утверждаемым уполномоченным органом.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Конфиденциальность информации, содержащейся в статистическом регистре жилищного фонда, гарантируется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государственной статистики.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информации, содержащейся</w:t>
      </w:r>
      <w:r>
        <w:br/>
      </w:r>
      <w:r>
        <w:rPr>
          <w:rFonts w:ascii="Times New Roman"/>
          <w:b/>
          <w:i w:val="false"/>
          <w:color w:val="000000"/>
        </w:rPr>
        <w:t>в статистическом регистре жилищного фонда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КАТО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Ситуация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 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Причина выбытия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жилых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газа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электричества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Ситуация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проживающих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Количество домохозяйств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Жилая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Вид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Сумма сделки по договору купли-продажи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Сумма сделки по договору купли-продажи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Стоимость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проведения оценки для целей налогообложения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подлежащей передаче из ГБД РН</w:t>
      </w:r>
      <w:r>
        <w:br/>
      </w:r>
      <w:r>
        <w:rPr>
          <w:rFonts w:ascii="Times New Roman"/>
          <w:b/>
          <w:i w:val="false"/>
          <w:color w:val="000000"/>
        </w:rPr>
        <w:t>в Комитет по статистике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жилых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Код КАТО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Материалы наружных стен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Этажность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жилых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Сведения о жилых помещениях (квартирах)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Код 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Кадастровый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Правообладатели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сделки по договору купли-продажи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проведения оценки для целей налогообложения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информации, подлежащей обновлению</w:t>
      </w:r>
      <w:r>
        <w:br/>
      </w:r>
      <w:r>
        <w:rPr>
          <w:rFonts w:ascii="Times New Roman"/>
          <w:b/>
          <w:i w:val="false"/>
          <w:color w:val="000000"/>
        </w:rPr>
        <w:t>в статистическом регистре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на основании регистрационных записей</w:t>
      </w:r>
      <w:r>
        <w:br/>
      </w:r>
      <w:r>
        <w:rPr>
          <w:rFonts w:ascii="Times New Roman"/>
          <w:b/>
          <w:i w:val="false"/>
          <w:color w:val="000000"/>
        </w:rPr>
        <w:t>похозяйственного учета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комнат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Материалы наружных стен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электроплиты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газа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газа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отопления от ТЭЦ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отопления печного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отопления от индивидуальной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горячего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горячего водоснабжения от индивидуальных водонагревателей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ванны или душа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электричества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Общая площадь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Жилая площадь жилища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