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5ab3" w14:textId="5815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апреля 2015 года № 305. Зарегистрирован в Министерстве юстиции Республики Казахстан 8 апреля 2015 года № 10636.</w:t>
      </w:r>
    </w:p>
    <w:p>
      <w:pPr>
        <w:spacing w:after="0"/>
        <w:ind w:left="0"/>
        <w:jc w:val="both"/>
      </w:pPr>
      <w:bookmarkStart w:name="z1" w:id="0"/>
      <w:r>
        <w:rPr>
          <w:rFonts w:ascii="Times New Roman"/>
          <w:b w:val="false"/>
          <w:i w:val="false"/>
          <w:color w:val="ff0000"/>
          <w:sz w:val="28"/>
        </w:rPr>
        <w:t xml:space="preserve">
      Сноска. Заголовок приказа в редакции приказа Министра национальной экономики РК от 02.12.2015 </w:t>
      </w:r>
      <w:r>
        <w:rPr>
          <w:rFonts w:ascii="Times New Roman"/>
          <w:b w:val="false"/>
          <w:i w:val="false"/>
          <w:color w:val="ff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Об утверждении </w:t>
      </w:r>
      <w:r>
        <w:rPr>
          <w:rFonts w:ascii="Times New Roman"/>
          <w:b w:val="false"/>
          <w:i w:val="false"/>
          <w:color w:val="000000"/>
          <w:sz w:val="28"/>
        </w:rPr>
        <w:t>Правил</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02.12.2015 </w:t>
      </w:r>
      <w:r>
        <w:rPr>
          <w:rFonts w:ascii="Times New Roman"/>
          <w:b w:val="false"/>
          <w:i w:val="false"/>
          <w:color w:val="000000"/>
          <w:sz w:val="28"/>
        </w:rPr>
        <w:t>№ 751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305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оформления экспертных заключений по градостроительным и строительным проектам (технико-экономическим обоснованиям и проектно-сметной документации) (далее –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bookmarkEnd w:id="7"/>
    <w:bookmarkStart w:name="z10" w:id="8"/>
    <w:p>
      <w:pPr>
        <w:spacing w:after="0"/>
        <w:ind w:left="0"/>
        <w:jc w:val="both"/>
      </w:pPr>
      <w:r>
        <w:rPr>
          <w:rFonts w:ascii="Times New Roman"/>
          <w:b w:val="false"/>
          <w:i w:val="false"/>
          <w:color w:val="000000"/>
          <w:sz w:val="28"/>
        </w:rPr>
        <w:t>
      2. Правила определяют порядок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8"/>
    <w:bookmarkStart w:name="z11" w:id="9"/>
    <w:p>
      <w:pPr>
        <w:spacing w:after="0"/>
        <w:ind w:left="0"/>
        <w:jc w:val="both"/>
      </w:pPr>
      <w:r>
        <w:rPr>
          <w:rFonts w:ascii="Times New Roman"/>
          <w:b w:val="false"/>
          <w:i w:val="false"/>
          <w:color w:val="000000"/>
          <w:sz w:val="28"/>
        </w:rPr>
        <w:t>
      3. При оформлении и выдаче экспертных заключений по проектам строительства используются информационные системы, интегрированные с единым порталом ведомства уполномоченного органа по делам архитектуры, градостроительства и строительства.</w:t>
      </w:r>
    </w:p>
    <w:bookmarkEnd w:id="9"/>
    <w:p>
      <w:pPr>
        <w:spacing w:after="0"/>
        <w:ind w:left="0"/>
        <w:jc w:val="both"/>
      </w:pPr>
      <w:r>
        <w:rPr>
          <w:rFonts w:ascii="Times New Roman"/>
          <w:b w:val="false"/>
          <w:i w:val="false"/>
          <w:color w:val="000000"/>
          <w:sz w:val="28"/>
        </w:rPr>
        <w:t>
      При оформлении и выдаче экспертных заключений по градостроительным проектам используется информационная система государственной экспертной организации, интегрированная с единым порталом ведомства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интегрированной с единым порталом ведомства уполномоченного органа по делам архитектуры, градостроительства и строительства, за исключением проектов строительства (ТЭО и ПСД) с грифом секретности или с пометкой "для служебного пользования"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В настоящих Правилах при проведении комплексной вневедомственной экспертизы и комплексной градостроительной экспертизы используются следующие основные понятия:</w:t>
      </w:r>
    </w:p>
    <w:bookmarkEnd w:id="10"/>
    <w:bookmarkStart w:name="z96" w:id="11"/>
    <w:p>
      <w:pPr>
        <w:spacing w:after="0"/>
        <w:ind w:left="0"/>
        <w:jc w:val="both"/>
      </w:pPr>
      <w:r>
        <w:rPr>
          <w:rFonts w:ascii="Times New Roman"/>
          <w:b w:val="false"/>
          <w:i w:val="false"/>
          <w:color w:val="000000"/>
          <w:sz w:val="28"/>
        </w:rPr>
        <w:t>
      1) исходные документы – документы (материалы, данные), прилагаемые к проектам строительства (градостроительным проектам) при их представлении на комплексную вневедомственную (комплексную градостроительную) экспертизу, на основании которых данный проект был разработан;</w:t>
      </w:r>
    </w:p>
    <w:bookmarkEnd w:id="11"/>
    <w:bookmarkStart w:name="z97" w:id="12"/>
    <w:p>
      <w:pPr>
        <w:spacing w:after="0"/>
        <w:ind w:left="0"/>
        <w:jc w:val="both"/>
      </w:pPr>
      <w:r>
        <w:rPr>
          <w:rFonts w:ascii="Times New Roman"/>
          <w:b w:val="false"/>
          <w:i w:val="false"/>
          <w:color w:val="000000"/>
          <w:sz w:val="28"/>
        </w:rPr>
        <w:t>
      2) эксперт в области проектирования (далее – эксперт)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12"/>
    <w:bookmarkStart w:name="z98" w:id="13"/>
    <w:p>
      <w:pPr>
        <w:spacing w:after="0"/>
        <w:ind w:left="0"/>
        <w:jc w:val="both"/>
      </w:pPr>
      <w:r>
        <w:rPr>
          <w:rFonts w:ascii="Times New Roman"/>
          <w:b w:val="false"/>
          <w:i w:val="false"/>
          <w:color w:val="000000"/>
          <w:sz w:val="28"/>
        </w:rPr>
        <w:t>
      3)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p>
    <w:bookmarkEnd w:id="13"/>
    <w:bookmarkStart w:name="z99" w:id="14"/>
    <w:p>
      <w:pPr>
        <w:spacing w:after="0"/>
        <w:ind w:left="0"/>
        <w:jc w:val="both"/>
      </w:pPr>
      <w:r>
        <w:rPr>
          <w:rFonts w:ascii="Times New Roman"/>
          <w:b w:val="false"/>
          <w:i w:val="false"/>
          <w:color w:val="000000"/>
          <w:sz w:val="28"/>
        </w:rPr>
        <w:t>
      4)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p>
    <w:bookmarkEnd w:id="14"/>
    <w:bookmarkStart w:name="z100" w:id="15"/>
    <w:p>
      <w:pPr>
        <w:spacing w:after="0"/>
        <w:ind w:left="0"/>
        <w:jc w:val="both"/>
      </w:pPr>
      <w:r>
        <w:rPr>
          <w:rFonts w:ascii="Times New Roman"/>
          <w:b w:val="false"/>
          <w:i w:val="false"/>
          <w:color w:val="000000"/>
          <w:sz w:val="28"/>
        </w:rPr>
        <w:t>
      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Глава 2. Порядок оформления заключений комплексной вневедомственной экспертизы проектов строительства</w:t>
      </w:r>
    </w:p>
    <w:bookmarkEnd w:id="16"/>
    <w:bookmarkStart w:name="z20" w:id="17"/>
    <w:p>
      <w:pPr>
        <w:spacing w:after="0"/>
        <w:ind w:left="0"/>
        <w:jc w:val="both"/>
      </w:pPr>
      <w:r>
        <w:rPr>
          <w:rFonts w:ascii="Times New Roman"/>
          <w:b w:val="false"/>
          <w:i w:val="false"/>
          <w:color w:val="000000"/>
          <w:sz w:val="28"/>
        </w:rPr>
        <w:t>
      5. Государственная и аккредитованные экспертные организации, а также аккредитованная экспертная организация особой индустриальной зоны, в пределах своей компетенции с учетом функционального назначения проектируемого объекта оформляют заключения комплексной вневедомственной экспертизы по технико-экономическим обоснованиям и проектно-сметной документации, предназначенным для строительства:</w:t>
      </w:r>
    </w:p>
    <w:bookmarkEnd w:id="17"/>
    <w:bookmarkStart w:name="z74" w:id="18"/>
    <w:p>
      <w:pPr>
        <w:spacing w:after="0"/>
        <w:ind w:left="0"/>
        <w:jc w:val="both"/>
      </w:pPr>
      <w:r>
        <w:rPr>
          <w:rFonts w:ascii="Times New Roman"/>
          <w:b w:val="false"/>
          <w:i w:val="false"/>
          <w:color w:val="000000"/>
          <w:sz w:val="28"/>
        </w:rPr>
        <w:t>
      1) зданий и сооружений жилищно-гражданского назначения;</w:t>
      </w:r>
    </w:p>
    <w:bookmarkEnd w:id="18"/>
    <w:bookmarkStart w:name="z75" w:id="19"/>
    <w:p>
      <w:pPr>
        <w:spacing w:after="0"/>
        <w:ind w:left="0"/>
        <w:jc w:val="both"/>
      </w:pPr>
      <w:r>
        <w:rPr>
          <w:rFonts w:ascii="Times New Roman"/>
          <w:b w:val="false"/>
          <w:i w:val="false"/>
          <w:color w:val="000000"/>
          <w:sz w:val="28"/>
        </w:rPr>
        <w:t>
      2) объектов производственного назначения;</w:t>
      </w:r>
    </w:p>
    <w:bookmarkEnd w:id="19"/>
    <w:bookmarkStart w:name="z76" w:id="20"/>
    <w:p>
      <w:pPr>
        <w:spacing w:after="0"/>
        <w:ind w:left="0"/>
        <w:jc w:val="both"/>
      </w:pPr>
      <w:r>
        <w:rPr>
          <w:rFonts w:ascii="Times New Roman"/>
          <w:b w:val="false"/>
          <w:i w:val="false"/>
          <w:color w:val="000000"/>
          <w:sz w:val="28"/>
        </w:rPr>
        <w:t>
      3) инженерных коммуникаций с объектами инфраструктуры;</w:t>
      </w:r>
    </w:p>
    <w:bookmarkEnd w:id="20"/>
    <w:bookmarkStart w:name="z77" w:id="21"/>
    <w:p>
      <w:pPr>
        <w:spacing w:after="0"/>
        <w:ind w:left="0"/>
        <w:jc w:val="both"/>
      </w:pPr>
      <w:r>
        <w:rPr>
          <w:rFonts w:ascii="Times New Roman"/>
          <w:b w:val="false"/>
          <w:i w:val="false"/>
          <w:color w:val="000000"/>
          <w:sz w:val="28"/>
        </w:rPr>
        <w:t>
      4) транспортных коммуникаций с объектами инфраструктуры;</w:t>
      </w:r>
    </w:p>
    <w:bookmarkEnd w:id="21"/>
    <w:bookmarkStart w:name="z78" w:id="22"/>
    <w:p>
      <w:pPr>
        <w:spacing w:after="0"/>
        <w:ind w:left="0"/>
        <w:jc w:val="both"/>
      </w:pPr>
      <w:r>
        <w:rPr>
          <w:rFonts w:ascii="Times New Roman"/>
          <w:b w:val="false"/>
          <w:i w:val="false"/>
          <w:color w:val="000000"/>
          <w:sz w:val="28"/>
        </w:rPr>
        <w:t>
      5) мостов, мостовых переходов, путепроводов, тоннелей и иных мостовых сооружений;</w:t>
      </w:r>
    </w:p>
    <w:bookmarkEnd w:id="22"/>
    <w:bookmarkStart w:name="z79" w:id="23"/>
    <w:p>
      <w:pPr>
        <w:spacing w:after="0"/>
        <w:ind w:left="0"/>
        <w:jc w:val="both"/>
      </w:pPr>
      <w:r>
        <w:rPr>
          <w:rFonts w:ascii="Times New Roman"/>
          <w:b w:val="false"/>
          <w:i w:val="false"/>
          <w:color w:val="000000"/>
          <w:sz w:val="28"/>
        </w:rPr>
        <w:t>
      6) объектов иного назначения, предусматривающего особый режим функционирования или эксплуатацию с ограниченным доступом.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6. Экспертные заключения предусматривают:</w:t>
      </w:r>
    </w:p>
    <w:bookmarkEnd w:id="24"/>
    <w:bookmarkStart w:name="z81" w:id="25"/>
    <w:p>
      <w:pPr>
        <w:spacing w:after="0"/>
        <w:ind w:left="0"/>
        <w:jc w:val="both"/>
      </w:pPr>
      <w:r>
        <w:rPr>
          <w:rFonts w:ascii="Times New Roman"/>
          <w:b w:val="false"/>
          <w:i w:val="false"/>
          <w:color w:val="000000"/>
          <w:sz w:val="28"/>
        </w:rPr>
        <w:t xml:space="preserve">
      1) указание основных данных по проекту (технико-экономическому обоснованию или проектно-сметной документации), а именно наименование проекта, заказчика, генерального подрядчика, субподрядчика, а также уровень ответственности здания или сооружения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утвержденных приказом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 с указанием прилагаемых к проекту обязательных исходных документов (материалы, данные), представленных на экспертизу Заказчиком;</w:t>
      </w:r>
    </w:p>
    <w:bookmarkEnd w:id="25"/>
    <w:bookmarkStart w:name="z82" w:id="26"/>
    <w:p>
      <w:pPr>
        <w:spacing w:after="0"/>
        <w:ind w:left="0"/>
        <w:jc w:val="both"/>
      </w:pPr>
      <w:r>
        <w:rPr>
          <w:rFonts w:ascii="Times New Roman"/>
          <w:b w:val="false"/>
          <w:i w:val="false"/>
          <w:color w:val="000000"/>
          <w:sz w:val="28"/>
        </w:rPr>
        <w:t>
      2) наименование раздела, фамилия имя, отчество (при наличии) аттестованного эксперта, с указанием номера аттестата, и информацией о соответствие (несоответствие) раздела,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26"/>
    <w:bookmarkStart w:name="z83" w:id="27"/>
    <w:p>
      <w:pPr>
        <w:spacing w:after="0"/>
        <w:ind w:left="0"/>
        <w:jc w:val="both"/>
      </w:pPr>
      <w:r>
        <w:rPr>
          <w:rFonts w:ascii="Times New Roman"/>
          <w:b w:val="false"/>
          <w:i w:val="false"/>
          <w:color w:val="000000"/>
          <w:sz w:val="28"/>
        </w:rPr>
        <w:t xml:space="preserve">
      3) постановляющая часть с суммирующими рекомендациями и (или) иными выводами, полученными в результате проведенной комплексной вневедомственной экспертизы. </w:t>
      </w:r>
    </w:p>
    <w:bookmarkEnd w:id="27"/>
    <w:bookmarkStart w:name="z84" w:id="28"/>
    <w:p>
      <w:pPr>
        <w:spacing w:after="0"/>
        <w:ind w:left="0"/>
        <w:jc w:val="both"/>
      </w:pPr>
      <w:r>
        <w:rPr>
          <w:rFonts w:ascii="Times New Roman"/>
          <w:b w:val="false"/>
          <w:i w:val="false"/>
          <w:color w:val="000000"/>
          <w:sz w:val="28"/>
        </w:rPr>
        <w:t>
      В случае выдачи положительного заключения приводится QR-код с ссылкой на окончательную версию проекта (технико-экономическому обоснованию или проектно-сметной документации).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7. Отрицательное заключение комплексной вневедомственной экспертизы составляется и направляется заказчику в случаях установленных Правилами.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Заключения комплексной вневедомственной экспертизы по технико-экономическим обоснованиям или проектно-сметной документации составляются в форме экспертного заключения государственной экспертной организации и удостоверяются электронно-цифровыми подписями:</w:t>
      </w:r>
    </w:p>
    <w:bookmarkEnd w:id="30"/>
    <w:bookmarkStart w:name="z86" w:id="31"/>
    <w:p>
      <w:pPr>
        <w:spacing w:after="0"/>
        <w:ind w:left="0"/>
        <w:jc w:val="both"/>
      </w:pPr>
      <w:r>
        <w:rPr>
          <w:rFonts w:ascii="Times New Roman"/>
          <w:b w:val="false"/>
          <w:i w:val="false"/>
          <w:color w:val="000000"/>
          <w:sz w:val="28"/>
        </w:rPr>
        <w:t>
      1) первого руководителя экспертной организации, либо его заместителя, в должностные функции которого входит организация проведения комплексной вневедомственной экспертизы – по проектам, рассмотренным на республиканском уровне;</w:t>
      </w:r>
    </w:p>
    <w:bookmarkEnd w:id="31"/>
    <w:bookmarkStart w:name="z87" w:id="32"/>
    <w:p>
      <w:pPr>
        <w:spacing w:after="0"/>
        <w:ind w:left="0"/>
        <w:jc w:val="both"/>
      </w:pPr>
      <w:r>
        <w:rPr>
          <w:rFonts w:ascii="Times New Roman"/>
          <w:b w:val="false"/>
          <w:i w:val="false"/>
          <w:color w:val="000000"/>
          <w:sz w:val="28"/>
        </w:rPr>
        <w:t>
      2)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вневедомственной экспертизы – по проектам, рассмотренным на региональном уровне;</w:t>
      </w:r>
    </w:p>
    <w:bookmarkEnd w:id="32"/>
    <w:bookmarkStart w:name="z88" w:id="33"/>
    <w:p>
      <w:pPr>
        <w:spacing w:after="0"/>
        <w:ind w:left="0"/>
        <w:jc w:val="both"/>
      </w:pPr>
      <w:r>
        <w:rPr>
          <w:rFonts w:ascii="Times New Roman"/>
          <w:b w:val="false"/>
          <w:i w:val="false"/>
          <w:color w:val="000000"/>
          <w:sz w:val="28"/>
        </w:rPr>
        <w:t>
      3) начальников экспертных отделов и (или)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3"/>
    <w:bookmarkStart w:name="z89" w:id="34"/>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электронно-цифровыми подписями аттестованных экспертов по каждому из разделов (частей) данного проекта, являющихся членами экспертных групп (включая привлеченных внештатных аттестованных экспертов), которые были созданы (сформированы) решением руководства экспертной комиссии по рассмотрению данного проекта на республиканском уровне, либо руководством территориального подразделения по проектам, рассматриваемым на региональном уровне.</w:t>
      </w:r>
    </w:p>
    <w:bookmarkEnd w:id="34"/>
    <w:bookmarkStart w:name="z90" w:id="35"/>
    <w:p>
      <w:pPr>
        <w:spacing w:after="0"/>
        <w:ind w:left="0"/>
        <w:jc w:val="both"/>
      </w:pPr>
      <w:r>
        <w:rPr>
          <w:rFonts w:ascii="Times New Roman"/>
          <w:b w:val="false"/>
          <w:i w:val="false"/>
          <w:color w:val="000000"/>
          <w:sz w:val="28"/>
        </w:rPr>
        <w:t>
      Окончательная версия технико-экономических обоснований и проектно-сметной документации с грифом секретности или с пометкой "для служебного пользования" ("ДСП")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9. Заключения комплексной вневедомственной экспертизы аккредитованных экспертных организаций, проводимой по проектам строительства в общем порядке, составляются в форме экспертного заключения аккредитованной экспертной организации, установленной палатой и удостоверяются электронно-цифровыми подписями:</w:t>
      </w:r>
    </w:p>
    <w:bookmarkEnd w:id="36"/>
    <w:bookmarkStart w:name="z39" w:id="37"/>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37"/>
    <w:bookmarkStart w:name="z40" w:id="38"/>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38"/>
    <w:bookmarkStart w:name="z41" w:id="39"/>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9-2. Заключения комплексной вневедомственной экспертизы аккредитованной экспертной организации особой индустриальной зоны, проводимой по проектам строительства в общем порядке, составляются в форме экспертного заключения аккредитованной экспертной организации особой индустриальной зоны и удостоверяются электронно-цифровыми подписями:</w:t>
      </w:r>
    </w:p>
    <w:bookmarkEnd w:id="40"/>
    <w:bookmarkStart w:name="z92" w:id="41"/>
    <w:p>
      <w:pPr>
        <w:spacing w:after="0"/>
        <w:ind w:left="0"/>
        <w:jc w:val="both"/>
      </w:pPr>
      <w:r>
        <w:rPr>
          <w:rFonts w:ascii="Times New Roman"/>
          <w:b w:val="false"/>
          <w:i w:val="false"/>
          <w:color w:val="000000"/>
          <w:sz w:val="28"/>
        </w:rPr>
        <w:t>
      1) руководителя данной экспертной организации или лицом его замещающим;</w:t>
      </w:r>
    </w:p>
    <w:bookmarkEnd w:id="41"/>
    <w:bookmarkStart w:name="z93" w:id="42"/>
    <w:p>
      <w:pPr>
        <w:spacing w:after="0"/>
        <w:ind w:left="0"/>
        <w:jc w:val="both"/>
      </w:pPr>
      <w:r>
        <w:rPr>
          <w:rFonts w:ascii="Times New Roman"/>
          <w:b w:val="false"/>
          <w:i w:val="false"/>
          <w:color w:val="000000"/>
          <w:sz w:val="28"/>
        </w:rPr>
        <w:t>
      2) специалистов, исполняющих руководящие функции по данному проекту, в зависимости от функционального назначения проектируемого объекта или соответствующих разделов (частей) проекта;</w:t>
      </w:r>
    </w:p>
    <w:bookmarkEnd w:id="42"/>
    <w:bookmarkStart w:name="z94" w:id="43"/>
    <w:p>
      <w:pPr>
        <w:spacing w:after="0"/>
        <w:ind w:left="0"/>
        <w:jc w:val="both"/>
      </w:pPr>
      <w:r>
        <w:rPr>
          <w:rFonts w:ascii="Times New Roman"/>
          <w:b w:val="false"/>
          <w:i w:val="false"/>
          <w:color w:val="000000"/>
          <w:sz w:val="28"/>
        </w:rPr>
        <w:t>
      3) аттестованных экспертов по каждому из разделов (частей) рассматриваемого проекта, включая привлеченных внештатных аттестованных экспертов.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 в соответствии с приказом Министра индустрии и инфраструктурного развития РК от 04.04.2022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10. Заключения экспертизы, проводимой в порядке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составляются в форме:</w:t>
      </w:r>
    </w:p>
    <w:bookmarkEnd w:id="44"/>
    <w:bookmarkStart w:name="z43" w:id="45"/>
    <w:p>
      <w:pPr>
        <w:spacing w:after="0"/>
        <w:ind w:left="0"/>
        <w:jc w:val="both"/>
      </w:pPr>
      <w:r>
        <w:rPr>
          <w:rFonts w:ascii="Times New Roman"/>
          <w:b w:val="false"/>
          <w:i w:val="false"/>
          <w:color w:val="000000"/>
          <w:sz w:val="28"/>
        </w:rPr>
        <w:t>
      1) локальных экспертных заключений по каждому из самостоятельных пусковых комплексов (очереди, участка) проекта с рекомендацией на утверждение данной части проекта при ее положительной оценке;</w:t>
      </w:r>
    </w:p>
    <w:bookmarkEnd w:id="45"/>
    <w:bookmarkStart w:name="z44" w:id="46"/>
    <w:p>
      <w:pPr>
        <w:spacing w:after="0"/>
        <w:ind w:left="0"/>
        <w:jc w:val="both"/>
      </w:pPr>
      <w:r>
        <w:rPr>
          <w:rFonts w:ascii="Times New Roman"/>
          <w:b w:val="false"/>
          <w:i w:val="false"/>
          <w:color w:val="000000"/>
          <w:sz w:val="28"/>
        </w:rPr>
        <w:t>
      2) сводного экспертного заключения по завершении государственной экспертизы по данному проекту в целом.</w:t>
      </w:r>
    </w:p>
    <w:bookmarkEnd w:id="46"/>
    <w:bookmarkStart w:name="z45" w:id="47"/>
    <w:p>
      <w:pPr>
        <w:spacing w:after="0"/>
        <w:ind w:left="0"/>
        <w:jc w:val="both"/>
      </w:pPr>
      <w:r>
        <w:rPr>
          <w:rFonts w:ascii="Times New Roman"/>
          <w:b w:val="false"/>
          <w:i w:val="false"/>
          <w:color w:val="000000"/>
          <w:sz w:val="28"/>
        </w:rPr>
        <w:t xml:space="preserve">
      11. Заключения комплексной вневедомственной экспертизы, выданные государственной экспертной организацией, проведенной по проектам строительства с грифом секретности или с пометкой "для служебного пользования" ("ДСП"), оформляются и выдаются заказчику на бумажном носителе. </w:t>
      </w:r>
    </w:p>
    <w:bookmarkEnd w:id="47"/>
    <w:bookmarkStart w:name="z46" w:id="48"/>
    <w:p>
      <w:pPr>
        <w:spacing w:after="0"/>
        <w:ind w:left="0"/>
        <w:jc w:val="both"/>
      </w:pPr>
      <w:r>
        <w:rPr>
          <w:rFonts w:ascii="Times New Roman"/>
          <w:b w:val="false"/>
          <w:i w:val="false"/>
          <w:color w:val="000000"/>
          <w:sz w:val="28"/>
        </w:rPr>
        <w:t>
      Учет и регистрация экспертных заключений по проектам строительства с грифом секретности или с пометкой "для служебного пользования" ("ДСП") ведется отдельно от экспертных заключений основных проектов строительства.</w:t>
      </w:r>
    </w:p>
    <w:bookmarkEnd w:id="48"/>
    <w:bookmarkStart w:name="z47" w:id="49"/>
    <w:p>
      <w:pPr>
        <w:spacing w:after="0"/>
        <w:ind w:left="0"/>
        <w:jc w:val="both"/>
      </w:pPr>
      <w:r>
        <w:rPr>
          <w:rFonts w:ascii="Times New Roman"/>
          <w:b w:val="false"/>
          <w:i w:val="false"/>
          <w:color w:val="000000"/>
          <w:sz w:val="28"/>
        </w:rPr>
        <w:t>
      12. Экспертные организации ведут обязательный учет выданных заказчикам заключений комплексной вневедомственной экспертизы с присвоенными им регистрационными номерами.</w:t>
      </w:r>
    </w:p>
    <w:bookmarkEnd w:id="49"/>
    <w:bookmarkStart w:name="z48" w:id="50"/>
    <w:p>
      <w:pPr>
        <w:spacing w:after="0"/>
        <w:ind w:left="0"/>
        <w:jc w:val="left"/>
      </w:pPr>
      <w:r>
        <w:rPr>
          <w:rFonts w:ascii="Times New Roman"/>
          <w:b/>
          <w:i w:val="false"/>
          <w:color w:val="000000"/>
        </w:rPr>
        <w:t xml:space="preserve"> Глава 3. Порядок оформления заключений комплексной градостроительной экспертизы по градостроительным проектам различного уровня</w:t>
      </w:r>
    </w:p>
    <w:bookmarkEnd w:id="50"/>
    <w:bookmarkStart w:name="z49" w:id="51"/>
    <w:p>
      <w:pPr>
        <w:spacing w:after="0"/>
        <w:ind w:left="0"/>
        <w:jc w:val="both"/>
      </w:pPr>
      <w:r>
        <w:rPr>
          <w:rFonts w:ascii="Times New Roman"/>
          <w:b w:val="false"/>
          <w:i w:val="false"/>
          <w:color w:val="000000"/>
          <w:sz w:val="28"/>
        </w:rPr>
        <w:t>
      13. Эксперты по результатам рассмотрения проектов, указанных в подпункте 3) пункта 4 настоящих Правил и подлежащих комплексной градостроительной экспертизе в соответствии с законодательством Республики Казахстан в сфере архитектурной, градостроительной и строительной деятельности, составляют экспертные заключения комплексной градостроительной экспертизы, оформляют их согласно процедурам, предусмотренным настоящей главой Правил, для выдачи экспертного заключения заказчику.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15. Экспертные заключения комплексной градостроительной экспертизы предусматривают:</w:t>
      </w:r>
    </w:p>
    <w:bookmarkEnd w:id="52"/>
    <w:bookmarkStart w:name="z114" w:id="53"/>
    <w:p>
      <w:pPr>
        <w:spacing w:after="0"/>
        <w:ind w:left="0"/>
        <w:jc w:val="both"/>
      </w:pPr>
      <w:r>
        <w:rPr>
          <w:rFonts w:ascii="Times New Roman"/>
          <w:b w:val="false"/>
          <w:i w:val="false"/>
          <w:color w:val="000000"/>
          <w:sz w:val="28"/>
        </w:rPr>
        <w:t>
      1) указание основных данных по проекту, а именно наименование градостроительного проекта, заказчика, генерального подрядчика, субподрядчика, а также информацию об уровне градостроительного проекта с указанием прилагаемых к проекту обязательных исходных документов (материалы, данные), представленных на экспертизу Заказчиком;</w:t>
      </w:r>
    </w:p>
    <w:bookmarkEnd w:id="53"/>
    <w:bookmarkStart w:name="z115" w:id="54"/>
    <w:p>
      <w:pPr>
        <w:spacing w:after="0"/>
        <w:ind w:left="0"/>
        <w:jc w:val="both"/>
      </w:pPr>
      <w:r>
        <w:rPr>
          <w:rFonts w:ascii="Times New Roman"/>
          <w:b w:val="false"/>
          <w:i w:val="false"/>
          <w:color w:val="000000"/>
          <w:sz w:val="28"/>
        </w:rPr>
        <w:t>
      2) наименование раздела, фамилию, имя, отчество (при наличии) аттестованного эксперта с указанием номера аттестата и информации о соответствии (несоответствии) раздела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государственных нормативов;</w:t>
      </w:r>
    </w:p>
    <w:bookmarkEnd w:id="54"/>
    <w:bookmarkStart w:name="z116" w:id="55"/>
    <w:p>
      <w:pPr>
        <w:spacing w:after="0"/>
        <w:ind w:left="0"/>
        <w:jc w:val="both"/>
      </w:pPr>
      <w:r>
        <w:rPr>
          <w:rFonts w:ascii="Times New Roman"/>
          <w:b w:val="false"/>
          <w:i w:val="false"/>
          <w:color w:val="000000"/>
          <w:sz w:val="28"/>
        </w:rPr>
        <w:t>
      3) постановляющую часть с рекомендациями и с выводами комплексной оценки качества градостроительного проекта и (или) иными выводами, полученными в результате проведенной комплексной градостроительной экспертизы.</w:t>
      </w:r>
    </w:p>
    <w:bookmarkEnd w:id="55"/>
    <w:bookmarkStart w:name="z117" w:id="56"/>
    <w:p>
      <w:pPr>
        <w:spacing w:after="0"/>
        <w:ind w:left="0"/>
        <w:jc w:val="both"/>
      </w:pPr>
      <w:r>
        <w:rPr>
          <w:rFonts w:ascii="Times New Roman"/>
          <w:b w:val="false"/>
          <w:i w:val="false"/>
          <w:color w:val="000000"/>
          <w:sz w:val="28"/>
        </w:rPr>
        <w:t>
      В случае выдачи положительного заключения приводится QR-код со ссылкой на окончательную версию градостроительного проекта за исключением экспертных заключений по градостроительным проектам с грифом секретности или с пометкой "для служебного пользования ("ДСП").</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промышленности и строительства РК от 11.04.2025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05" w:id="57"/>
    <w:p>
      <w:pPr>
        <w:spacing w:after="0"/>
        <w:ind w:left="0"/>
        <w:jc w:val="both"/>
      </w:pPr>
      <w:r>
        <w:rPr>
          <w:rFonts w:ascii="Times New Roman"/>
          <w:b w:val="false"/>
          <w:i w:val="false"/>
          <w:color w:val="000000"/>
          <w:sz w:val="28"/>
        </w:rPr>
        <w:t>
      16-1. Заключения комплексной градостроительной экспертизы по градостроительным проектам составляются в форме экспертного заключения государственной экспертной организации и удостоверяются электронно-цифровыми подписями (далее – ЭЦП):</w:t>
      </w:r>
    </w:p>
    <w:bookmarkEnd w:id="57"/>
    <w:bookmarkStart w:name="z106" w:id="58"/>
    <w:p>
      <w:pPr>
        <w:spacing w:after="0"/>
        <w:ind w:left="0"/>
        <w:jc w:val="both"/>
      </w:pPr>
      <w:r>
        <w:rPr>
          <w:rFonts w:ascii="Times New Roman"/>
          <w:b w:val="false"/>
          <w:i w:val="false"/>
          <w:color w:val="000000"/>
          <w:sz w:val="28"/>
        </w:rPr>
        <w:t>
      1) первого руководителя экспертной организации по проектам, имеющим общегосударственное (генеральной схемы организации территории Республики Казахстан, межрегиональных схем территориального развития) или межгосударственное значение, а также генеральным планам городов с расчетной численностью населения свыше ста тысяч жителей;</w:t>
      </w:r>
    </w:p>
    <w:bookmarkEnd w:id="58"/>
    <w:bookmarkStart w:name="z107" w:id="59"/>
    <w:p>
      <w:pPr>
        <w:spacing w:after="0"/>
        <w:ind w:left="0"/>
        <w:jc w:val="both"/>
      </w:pPr>
      <w:r>
        <w:rPr>
          <w:rFonts w:ascii="Times New Roman"/>
          <w:b w:val="false"/>
          <w:i w:val="false"/>
          <w:color w:val="000000"/>
          <w:sz w:val="28"/>
        </w:rPr>
        <w:t>
      2) заместителя руководителя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комплексных схем градостроительного планирования территорий областей (районов);</w:t>
      </w:r>
    </w:p>
    <w:bookmarkEnd w:id="59"/>
    <w:bookmarkStart w:name="z108" w:id="60"/>
    <w:p>
      <w:pPr>
        <w:spacing w:after="0"/>
        <w:ind w:left="0"/>
        <w:jc w:val="both"/>
      </w:pPr>
      <w:r>
        <w:rPr>
          <w:rFonts w:ascii="Times New Roman"/>
          <w:b w:val="false"/>
          <w:i w:val="false"/>
          <w:color w:val="000000"/>
          <w:sz w:val="28"/>
        </w:rPr>
        <w:t>
      3) заместителя руководителя экспертной организации или руководителя территориального подразделения или иного обособленного подразделения экспертной организации, либо лица, его замещающего, в должностные функции которого входит организация проведения комплексной градостроительной экспертизы – по проектам генеральных планов городов областного и районного значения, поселков и других населенных пунктов с расчетной численностью населения до ста тысяч жителей, по проектам детальной планировки и застройки;</w:t>
      </w:r>
    </w:p>
    <w:bookmarkEnd w:id="60"/>
    <w:bookmarkStart w:name="z109" w:id="61"/>
    <w:p>
      <w:pPr>
        <w:spacing w:after="0"/>
        <w:ind w:left="0"/>
        <w:jc w:val="both"/>
      </w:pPr>
      <w:r>
        <w:rPr>
          <w:rFonts w:ascii="Times New Roman"/>
          <w:b w:val="false"/>
          <w:i w:val="false"/>
          <w:color w:val="000000"/>
          <w:sz w:val="28"/>
        </w:rPr>
        <w:t>
      4) начальников экспертных отделов.</w:t>
      </w:r>
    </w:p>
    <w:bookmarkEnd w:id="61"/>
    <w:bookmarkStart w:name="z110" w:id="62"/>
    <w:p>
      <w:pPr>
        <w:spacing w:after="0"/>
        <w:ind w:left="0"/>
        <w:jc w:val="both"/>
      </w:pPr>
      <w:r>
        <w:rPr>
          <w:rFonts w:ascii="Times New Roman"/>
          <w:b w:val="false"/>
          <w:i w:val="false"/>
          <w:color w:val="000000"/>
          <w:sz w:val="28"/>
        </w:rPr>
        <w:t>
      Экспертные заключения государственной экспертной организации до подписания их вышеуказанными должностными лицами удостоверяются ЭЦП аттестованных экспертов по каждому из разделов (частей) данного проекта.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11" w:id="63"/>
    <w:p>
      <w:pPr>
        <w:spacing w:after="0"/>
        <w:ind w:left="0"/>
        <w:jc w:val="both"/>
      </w:pPr>
      <w:r>
        <w:rPr>
          <w:rFonts w:ascii="Times New Roman"/>
          <w:b w:val="false"/>
          <w:i w:val="false"/>
          <w:color w:val="000000"/>
          <w:sz w:val="28"/>
        </w:rPr>
        <w:t>
      16-2. Заключения комплексной градостроительной экспертизы, выданные государственной экспертной организацией, проведенной по градостроительным проектам имеющих гриф секретности или пометку "для служебного пользования" ("ДСП") оформляются в соответствии с требованиями пункта 15 настоящих Правил и выдаются заказчику на бумажном носителе и удостоверяются печатью эксперта с указанием фамилии, имени, отчества (при его наличии), должности, номера аттестата и даты его выдачи.</w:t>
      </w:r>
    </w:p>
    <w:bookmarkEnd w:id="63"/>
    <w:bookmarkStart w:name="z118" w:id="64"/>
    <w:p>
      <w:pPr>
        <w:spacing w:after="0"/>
        <w:ind w:left="0"/>
        <w:jc w:val="both"/>
      </w:pPr>
      <w:r>
        <w:rPr>
          <w:rFonts w:ascii="Times New Roman"/>
          <w:b w:val="false"/>
          <w:i w:val="false"/>
          <w:color w:val="000000"/>
          <w:sz w:val="28"/>
        </w:rPr>
        <w:t>
      Учет и регистрация экспертных заключений по градостроительным проектам с грифом секретности или с пометкой "для служебного пользования" ("ДСП") ведется отдельно от экспертных заключений основных градостроительных проектов.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 в редакции приказа и.о. Министра промышленности и строительства РК от 11.04.2025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xml:space="preserve">
      17. Отрицательное заключение комплексной градостроительной экспертизы составляется и направляется заказчику в случаях,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градостроительной экспертизы градостроительных проектов всех уровней, утвержденных приказом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bookmarkStart w:name="z112" w:id="66"/>
    <w:p>
      <w:pPr>
        <w:spacing w:after="0"/>
        <w:ind w:left="0"/>
        <w:jc w:val="both"/>
      </w:pPr>
      <w:r>
        <w:rPr>
          <w:rFonts w:ascii="Times New Roman"/>
          <w:b w:val="false"/>
          <w:i w:val="false"/>
          <w:color w:val="000000"/>
          <w:sz w:val="28"/>
        </w:rPr>
        <w:t>
      18. Государственная экспертная организация ведет учет выданных заказчикам заключений комплексной градостроительной экспертизы с присвоением им регистрационных номеров.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 в соответствии с приказом и.о. Министра индустрии и инфраструктурного развития РК от 25.07.2023 </w:t>
      </w:r>
      <w:r>
        <w:rPr>
          <w:rFonts w:ascii="Times New Roman"/>
          <w:b w:val="false"/>
          <w:i w:val="false"/>
          <w:color w:val="000000"/>
          <w:sz w:val="28"/>
        </w:rPr>
        <w:t>№ 541</w:t>
      </w:r>
      <w:r>
        <w:rPr>
          <w:rFonts w:ascii="Times New Roman"/>
          <w:b w:val="false"/>
          <w:i w:val="false"/>
          <w:color w:val="ff0000"/>
          <w:sz w:val="28"/>
        </w:rPr>
        <w:t xml:space="preserve"> (вводится в действие с 07.01.2024).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