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989f" w14:textId="1e89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"Санитарно-эпидемиологические требования к обеспечению радиационной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февраля 2015 года № 155. Зарегистрирован в Министерстве юстиции Республики Казахстан 10 апреля 2015 года № 10671. Утратил силу приказом Министра здравоохранения Республики Казахстан от 2 августа 2022 года № ҚР ДСМ-71.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02.08.2022 </w:t>
      </w:r>
      <w:r>
        <w:rPr>
          <w:rFonts w:ascii="Times New Roman"/>
          <w:b w:val="false"/>
          <w:i w:val="false"/>
          <w:color w:val="ff0000"/>
          <w:sz w:val="28"/>
        </w:rPr>
        <w:t>№ ҚР ДСМ-71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 "Санитарно-эпидемиологические требования к обеспечению радиационной безопасности".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155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обеспечению</w:t>
      </w:r>
      <w:r>
        <w:br/>
      </w:r>
      <w:r>
        <w:rPr>
          <w:rFonts w:ascii="Times New Roman"/>
          <w:b/>
          <w:i w:val="false"/>
          <w:color w:val="000000"/>
        </w:rPr>
        <w:t>радиационной безопасности"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гигиенические нормативы "Санитарно- эпидемиологические требования к обеспечению радиационной безопасности" (далее – нормативы) предназначены для юридических и физических лиц не зависимо от форм собственности, ведомственной принадлежности организационно-правовых форм, а также для местных исполнительных органов власти, граждан Республики Казахстан, иностранных граждан и лиц без гражданства, проживающих на территории Республики Казахстан деятельность которых связана с обращением источников ионизирующего излучения, для обеспечения радиационной безопасности.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применяются для обеспечения безопасности человека во всех условиях воздействия на него ионизирующего излучения искусственного или природного происхождения и являются основополагающим документом, регламентирующим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радиационной безопасности населения" в форме основных пределов доз, допустимых уровней воздействия ионизирующего излучения и других требований по ограничению облучения человека.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несут ответственность за нарушение требований обеспечения радиационной безопасности,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радиационной безопасности населения".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гигиенических нормативах использованы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активность минимально значимая (далее – МЗА) – активность открытого или закрытого источника ионизирующего излучения при превышении которой источник подлежит учету и контролю и для которого требуется санитарно-эпидемиологическое заключение, выдаваемое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"О здоровье народа и системе здравоохранения" (далее – Кодекс);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активность минимально значимая удельная (далее – МЗУА) – удельная активность открытого источника ионизирующего излучения при превышении которой источник подлежит учету и контролю и для которого требуется санитарно-эпидемиологическое  заключение, выдаваемое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 – лица, работающие с техногенными источниками ионизирующего излучения (группа А) или находящиеся по условиям работы в сфере их воздействия (группа Б).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распространяются на следующие виды воздействия ионизирующего излучения на человека: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условиях нормальной эксплуатации техногенных источников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радиационной аварии;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природных источников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медицинском облучении.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обеспечению радиационной безопасности сформулированы для каждого вида облучения. Суммарная доза от всех видов облучения используется для оценки радиационной обстановки и ожидаемых медицинских последствий, а также для обоснования защитных мероприятий и оценки их эффективности.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нормативов не распространяются на источники излучения, создающие при любых условиях обращения с ними: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индивидуальную годовую эффективную дозу не более 10 микрозиверт (далее – мкЗв);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годовую эквивалентную дозу в коже не более 50 миллизиверт (далее – мЗв) и в хрусталике не более 15 мЗв;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коллективную эффективную годовую дозу не более 1 человеко-зиверта (далее – чел-Зв), либо когда при коллективной дозе более 1 чел-Зв оценка по принципу оптимизации показывает нецелесообразность снижения коллективной дозы.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нормативов не распространяются также на космическое излучение на поверхности земли и внутреннее облучение человека, создаваемое природным калием, на которые практически невозможно влиять.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обоснования расходов на радиационную защиту при реализации принципа оптимизации принимается, что облучение в коллективной эффективной дозе в 1 чел-Зв приводит к потенциальному ущербу, равному потере примерно 1 чел-Зв года жизни населения. Величина денежного эквивалента потери 1 чел-Зв года жизни устанавливается в размере не менее 1 годового душевого национального дохода.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Индивидуальный и коллективный пожизненный риск возникновения стохастических эффектов определяется соответственно.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22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r,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индивидуальный и коллективный пожизненный риск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индивидуальная эффективная доза;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(Е)dE, – вероятность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-го индивидуума получить годовую эффективную дозу от Е до E+dE;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пожизненного риска сокращения длительности периода полноценной жизни в среднем на 15 лет на один стохастический эффект (от смертельного рака, серьезных наследственных эффектов и не смертельного рака, приведенного по вреду к последствиям от смертельного рака), равный: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производственного облучения: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5,6х10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1/ чел-Зв при Е &lt; 200 миллизиверт в год (далее – мЗв/год);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1,1х10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1/ чел-Зв при 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мЗв/год;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облучения населения: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7,3х10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1/ чел-Зв при Е &lt; 200 мЗв/год;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1/ чел-Зв при Е і 200 мЗв/год.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целей радиационной безопасности при облучении в течение года индивидуальный риск сокращения длительности периода полноценной жизни в результате возникновения тяжелых последствий от детерминированных эффектов консервативно принимается равным: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033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[D&gt;Д], – вероятность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-го индивидуума быть облученным с дозой больше Д при обращении с источником в течение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пороговая доза для детерминированного эффекта.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наиболее полной оценки вреда, который может быть нанесен здоровью в результате облучения в малых дозах, используется понятие радиационного ущерба, количественно учитывающего как эффекты облучения отдельных органов и тканей тела, отличающиеся радиочувствительностью к ионизирующему излучению, так и всего организма в целом. В соответствии с общепринятой линейной беспороговой теорией зависимости риска стохастических эффектов от дозы, величина риска пропорциональна дозе излучения и связана с дозой через линейные коэффициенты радиационного риска,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величина коэффициента риска, используемая для установления пределов доз персонала и населения, принята равной 0,05 Зв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нормальной эксплуатации ядерных радиационных и электрофизических установок пределы доз техногенного облучения в течении года устанавливаются исходя из следующих значений индивидуального пожизненного радиационного риска для персонала 1x10</w:t>
      </w:r>
      <w:r>
        <w:rPr>
          <w:rFonts w:ascii="Times New Roman"/>
          <w:b w:val="false"/>
          <w:i w:val="false"/>
          <w:color w:val="000000"/>
          <w:vertAlign w:val="superscript"/>
        </w:rPr>
        <w:t>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населения 5x10</w:t>
      </w:r>
      <w:r>
        <w:rPr>
          <w:rFonts w:ascii="Times New Roman"/>
          <w:b w:val="false"/>
          <w:i w:val="false"/>
          <w:color w:val="000000"/>
          <w:vertAlign w:val="superscript"/>
        </w:rPr>
        <w:t>-5</w:t>
      </w:r>
      <w:r>
        <w:rPr>
          <w:rFonts w:ascii="Times New Roman"/>
          <w:b w:val="false"/>
          <w:i w:val="false"/>
          <w:color w:val="000000"/>
          <w:sz w:val="28"/>
        </w:rPr>
        <w:t>. Уровень пренебрежимо малого риска составляет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обосновании защиты от источников потенциального облучения в течение года принимаются следующие значения обобщенного риска (произведение вероятности события, приводящего к облучению, и вероятности смерти, связанной с облучением):персонал 2,0х10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>, год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; население 1,0х10</w:t>
      </w:r>
      <w:r>
        <w:rPr>
          <w:rFonts w:ascii="Times New Roman"/>
          <w:b w:val="false"/>
          <w:i w:val="false"/>
          <w:color w:val="000000"/>
          <w:vertAlign w:val="superscript"/>
        </w:rPr>
        <w:t>-5</w:t>
      </w:r>
      <w:r>
        <w:rPr>
          <w:rFonts w:ascii="Times New Roman"/>
          <w:b w:val="false"/>
          <w:i w:val="false"/>
          <w:color w:val="000000"/>
          <w:sz w:val="28"/>
        </w:rPr>
        <w:t>, год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Нормативы к ограничению техногенного облучения</w:t>
      </w:r>
      <w:r>
        <w:br/>
      </w:r>
      <w:r>
        <w:rPr>
          <w:rFonts w:ascii="Times New Roman"/>
          <w:b/>
          <w:i w:val="false"/>
          <w:color w:val="000000"/>
        </w:rPr>
        <w:t>в контролируемых условиях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категорий облучаемых лиц (персонал группы "А", "Б" и население) устанавливаются три класса нормативов: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пределы доз (далее – ПД);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допустимые уровни монофакторного воздействия (для одного радионуклида, пути поступления или одного вида внешнего облучения), являющиеся производными от основных пределов доз: предел годового поступления (далее – ПГП), допустимые среднегодовые объемные активности (далее – ДОА), среднегодовые удельные активности (далее – ДУА), мощность эквивалентной дозы (далее – МЭД);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 уровни (дозы, уровни, активности, плотности потоков. Их значения учитывают достигнутый в организации уровень радиационной безопасности и обеспечивают условия, при которых радиационное воздействие будет ниже допустимого.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Основные пределы доз облучения не включают в себя дозы от природного и медицинского облучения, а также дозы вследствие радиационных аварий. На эти виды облучения устанавливаются специальные ограничения.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Эффективная доза для персонала не должна превышать за период трудовой деятельности (50 лет) – 1000 мЗв, для населения за период жизни (70 лет) – 70 мЗв.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предприятия переводит беременную женщину на работу, не связанную с источниками излучения, со дня получения информации о факте беременности, на период беременности и грудного вскармливания ребенка.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Годовая эффективная доза облучения персонала за счет нормальной эксплуатации техногенных источников ионизирующего излучения не должна превышать ПД,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годовой эффективной дозой понимается сумма эффективной дозы внешнего облучения, полученной за календарный год, и ожидаемой эффективной дозы внутреннего облучения, обусловленной поступлением в организм радионуклидов за этот же год.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Значения дозовых коэффициентов, предела годового поступления с воздухом и допустимой среднегодовой объемной активности в воздухе отдельных радионуклидов для персонала, поступление радионуклидов через органы дыхания и среднегодовая объемная активность их во вдыхаемом воздухе не должны превышать числовых значений ПГП и ДОА,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настоящими нормативам, где пределы доз взяты равными 20 мЗв в год для персонала и 1 мЗв в год для населения.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нестандартных условиях допустимые уровни МЭД, среднегодовая ДОА персонала и ЭРОА радона определяются расчетным путем с учетом времени пребывания персонала в радиационно-опасной зоне. Приведенные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 дозовых коэффициентов, а также величин ПГП персонала, ПГП населения, ДОА персонала и ДОА населения (далее –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, ПГП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>,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ДОА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>)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, ПГП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>,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ДОА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воздуха рассчитаны для аэрозолей с логарифмически нормальным распределением частиц по активности при медианном по активности аэродинамическом диаметре 1 микрометр и стандартном геометрическом отклонении, равном 2,5.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персонала группы А значения ПГП и ДОА дочерних продуктов распада изотопов радона (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Rn и </w:t>
      </w:r>
      <w:r>
        <w:rPr>
          <w:rFonts w:ascii="Times New Roman"/>
          <w:b w:val="false"/>
          <w:i w:val="false"/>
          <w:color w:val="000000"/>
          <w:vertAlign w:val="superscript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 xml:space="preserve">Rn) - </w:t>
      </w:r>
      <w:r>
        <w:rPr>
          <w:rFonts w:ascii="Times New Roman"/>
          <w:b w:val="false"/>
          <w:i w:val="false"/>
          <w:color w:val="000000"/>
          <w:vertAlign w:val="superscript"/>
        </w:rPr>
        <w:t>218</w:t>
      </w:r>
      <w:r>
        <w:rPr>
          <w:rFonts w:ascii="Times New Roman"/>
          <w:b w:val="false"/>
          <w:i w:val="false"/>
          <w:color w:val="000000"/>
          <w:sz w:val="28"/>
        </w:rPr>
        <w:t xml:space="preserve">Po (RaA), </w:t>
      </w:r>
      <w:r>
        <w:rPr>
          <w:rFonts w:ascii="Times New Roman"/>
          <w:b w:val="false"/>
          <w:i w:val="false"/>
          <w:color w:val="000000"/>
          <w:vertAlign w:val="superscript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Pb (RaB), </w:t>
      </w:r>
      <w:r>
        <w:rPr>
          <w:rFonts w:ascii="Times New Roman"/>
          <w:b w:val="false"/>
          <w:i w:val="false"/>
          <w:color w:val="000000"/>
          <w:vertAlign w:val="superscript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Bi (RaC), </w:t>
      </w:r>
      <w:r>
        <w:rPr>
          <w:rFonts w:ascii="Times New Roman"/>
          <w:b w:val="false"/>
          <w:i w:val="false"/>
          <w:color w:val="000000"/>
          <w:vertAlign w:val="superscript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Pb (ThB), </w:t>
      </w:r>
      <w:r>
        <w:rPr>
          <w:rFonts w:ascii="Times New Roman"/>
          <w:b w:val="false"/>
          <w:i w:val="false"/>
          <w:color w:val="000000"/>
          <w:vertAlign w:val="superscript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>Bi (ThC) в единицах эквивалентной равновесной активности (для ПГП) и эквивалентной равновесной объемной активности (для ДОА) составляют: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ПГП: 0,10 П</w:t>
      </w:r>
      <w:r>
        <w:rPr>
          <w:rFonts w:ascii="Times New Roman"/>
          <w:b w:val="false"/>
          <w:i w:val="false"/>
          <w:color w:val="000000"/>
          <w:vertAlign w:val="subscript"/>
        </w:rPr>
        <w:t>RaA</w:t>
      </w:r>
      <w:r>
        <w:rPr>
          <w:rFonts w:ascii="Times New Roman"/>
          <w:b w:val="false"/>
          <w:i w:val="false"/>
          <w:color w:val="000000"/>
          <w:sz w:val="28"/>
        </w:rPr>
        <w:t xml:space="preserve"> + 0,52 П</w:t>
      </w:r>
      <w:r>
        <w:rPr>
          <w:rFonts w:ascii="Times New Roman"/>
          <w:b w:val="false"/>
          <w:i w:val="false"/>
          <w:color w:val="000000"/>
          <w:vertAlign w:val="subscript"/>
        </w:rPr>
        <w:t>RaB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+ 0,38 П</w:t>
      </w:r>
      <w:r>
        <w:rPr>
          <w:rFonts w:ascii="Times New Roman"/>
          <w:b w:val="false"/>
          <w:i w:val="false"/>
          <w:color w:val="000000"/>
          <w:vertAlign w:val="subscript"/>
        </w:rPr>
        <w:t>RaC</w:t>
      </w:r>
      <w:r>
        <w:rPr>
          <w:rFonts w:ascii="Times New Roman"/>
          <w:b w:val="false"/>
          <w:i w:val="false"/>
          <w:color w:val="000000"/>
          <w:sz w:val="28"/>
        </w:rPr>
        <w:t xml:space="preserve"> = 3,0 МБк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0,91 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ThB </w:t>
      </w:r>
      <w:r>
        <w:rPr>
          <w:rFonts w:ascii="Times New Roman"/>
          <w:b w:val="false"/>
          <w:i w:val="false"/>
          <w:color w:val="000000"/>
          <w:sz w:val="28"/>
        </w:rPr>
        <w:t>+ 0,09 П</w:t>
      </w:r>
      <w:r>
        <w:rPr>
          <w:rFonts w:ascii="Times New Roman"/>
          <w:b w:val="false"/>
          <w:i w:val="false"/>
          <w:color w:val="000000"/>
          <w:vertAlign w:val="subscript"/>
        </w:rPr>
        <w:t>ThC</w:t>
      </w:r>
      <w:r>
        <w:rPr>
          <w:rFonts w:ascii="Times New Roman"/>
          <w:b w:val="false"/>
          <w:i w:val="false"/>
          <w:color w:val="000000"/>
          <w:sz w:val="28"/>
        </w:rPr>
        <w:t xml:space="preserve"> = 0,68 МБк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ДОА: 0,10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RaA </w:t>
      </w:r>
      <w:r>
        <w:rPr>
          <w:rFonts w:ascii="Times New Roman"/>
          <w:b w:val="false"/>
          <w:i w:val="false"/>
          <w:color w:val="000000"/>
          <w:sz w:val="28"/>
        </w:rPr>
        <w:t>+ 0,52 А</w:t>
      </w:r>
      <w:r>
        <w:rPr>
          <w:rFonts w:ascii="Times New Roman"/>
          <w:b w:val="false"/>
          <w:i w:val="false"/>
          <w:color w:val="000000"/>
          <w:vertAlign w:val="subscript"/>
        </w:rPr>
        <w:t>RaB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+ 0,38 А</w:t>
      </w:r>
      <w:r>
        <w:rPr>
          <w:rFonts w:ascii="Times New Roman"/>
          <w:b w:val="false"/>
          <w:i w:val="false"/>
          <w:color w:val="000000"/>
          <w:vertAlign w:val="subscript"/>
        </w:rPr>
        <w:t>RaC</w:t>
      </w:r>
      <w:r>
        <w:rPr>
          <w:rFonts w:ascii="Times New Roman"/>
          <w:b w:val="false"/>
          <w:i w:val="false"/>
          <w:color w:val="000000"/>
          <w:sz w:val="28"/>
        </w:rPr>
        <w:t xml:space="preserve"> = 1200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0,91 А</w:t>
      </w:r>
      <w:r>
        <w:rPr>
          <w:rFonts w:ascii="Times New Roman"/>
          <w:b w:val="false"/>
          <w:i w:val="false"/>
          <w:color w:val="000000"/>
          <w:vertAlign w:val="subscript"/>
        </w:rPr>
        <w:t>ThB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+ 0,09 А</w:t>
      </w:r>
      <w:r>
        <w:rPr>
          <w:rFonts w:ascii="Times New Roman"/>
          <w:b w:val="false"/>
          <w:i w:val="false"/>
          <w:color w:val="000000"/>
          <w:vertAlign w:val="subscript"/>
        </w:rPr>
        <w:t>ThC</w:t>
      </w:r>
      <w:r>
        <w:rPr>
          <w:rFonts w:ascii="Times New Roman"/>
          <w:b w:val="false"/>
          <w:i w:val="false"/>
          <w:color w:val="000000"/>
          <w:sz w:val="28"/>
        </w:rPr>
        <w:t xml:space="preserve"> = 270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– годовые поступления и среднегодовые объемные активности в зоне дыхания соответствующих дочерних продуктов изотопов радона.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студентов и учащихся старше 16 лет, проходящих профессиональное обучение с использованием источников излучения, годовые дозы не должны превышать значений, установленных для персонала группы Б.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Планируемое повышенное облучение персонала группы А при ликвидации или предотвращении аварии допускается только в случае необходимости спасения людей и (или) предотвращения их облучения. Планируемое повышенное облучение допускается для мужчин старше 30 лет лишь при их добровольном письменном согласии, после информирования о возможных дозах облучения и риске для здоровья.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Планируемое повышенное облучение в эффективной дозе до 100 мЗв в год и эквивалентных дозах не более двукратных значений,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нормативов, допускается при согласовании с территориальным подразделением  ведомства государственного органа в сфере санитарно-эпидемиологического благополучия населения (не ниже областного уровня), облучение в эффективной дозе до 200 мЗв в год и четырехкратных значений эквивалентных доз допускается с разрешения Главного государственного санитарного врача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Повышенное облучение не допускается: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работников, ранее уже облученных в течение года в результате аварии или запланированного повышенного облучения с эффективной дозой 200 мЗв или с эквивалентной дозой, превышающей в четыре раза соответствующие пределы доз;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имеющих медицинские противопоказания для работы с источниками излучения.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подвергшиеся облучению в эффективной дозе, превышающей 100 мЗв в течение года, при дальнейшей работе не должны подвергаться облучению в дозе свыше 20 мЗв за год.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Облучение эффективной дозой свыше 200 мЗв в течение года рассматривается как потенциально опасное. Лица, подвергшиеся такому облучению, немедленно выводятся из зоны облучения и направляются на медицинское обследование. Последующая работа с источниками излучения этим лицам разрешается в индивидуальном порядке с учетом их согласия по решению компетентной медицинской комиссии.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не относящиеся к персоналу, привлекаемые для проведения аварийных, спасательных и других работ, осуществляемых на радиоактивно загрязненных территориях, оформляются и допускаются к работам как персонал группы А.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Нормативы к защите от природного облучения</w:t>
      </w:r>
      <w:r>
        <w:br/>
      </w:r>
      <w:r>
        <w:rPr>
          <w:rFonts w:ascii="Times New Roman"/>
          <w:b/>
          <w:i w:val="false"/>
          <w:color w:val="000000"/>
        </w:rPr>
        <w:t>в производственных условиях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Эффективная доза облучения природными источниками излучения всех работников, включая персонал, не должна превышать 5 мЗв в год в производственных условиях (любые профессии и производства).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Средние значения радиационных факторов в течение года, соответствующие при монофакторном воздействии эффективной дозе 5 мЗв за год при продолжительности работы 2000 часов в год (далее – ч/год), средней скорости дыхания 1,2 кубический метр в час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и радиоактивном равновесии радионуклидов уранового и ториевого рядов в производственной пыли, составляют: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мощность эффективной дозы гамма-излучения на рабочем месте 2,5 микрозиверт час (далее – мкЗв/ч);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Эквивалентная равновесная объемная активность (далее –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>) в воздухе зоны дыхания 310 беккерель на кубический метр (далее –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воздухе зоны дыхания 68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удельная активность в производственной пыли урана-238, находящегося в радиоактивном равновесии с членами своего ряда 40/f  килобеккерел на килограмм (далее – кБк/кг), где f – среднегодовая общая запыленность воздуха в зоне дыхания, миллиграмм на кубический метр (далее -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удельная активность в производственной пыли тория-232, находящегося в радиоактивном равновесии с членами своего ряда, 27/f, кБк/кг.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многофакторном воздействии сумма отношений воздействующих факторов к указанным значениям не должна превышать 1.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выборе участков территорий под строительство зданий и сооружений производственного назначения, отводятся участки с гамма-фоном не 0,6 мкЗв/ч, а плотность потока радона с поверхности грунта 250 миллибеккерель на квадратный метр в секунду (далее – мБк/(м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*с).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Воздействие космических излучений на экипажи самолетов нормируется как природное облучение в производственных условиях и не должно превышать 5 мЗв в год.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Нормативы к ограничению техногенного и природного облучения населения в нормальных условиях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Допустимые значения содержания радионуклидов в пищевых продуктах, питьевой воде и атмосферном воздухе, соответствующие пределу дозы техногенного облучения населения 1 мЗв/год и квотам от этого предела, рассчитываются на основании значений дозовых коэффициентов при поступлении радионуклидов через органы пищеварения с учетом их распределения по компонентам рациона питания и питьевой воде, а также с учетом поступления радионуклидов через органы дыхания и внешнего облучения людей. Значения дозовых коэффициентов для критических групп населения, ДОА и ПГП через органы дыхания и ПГП через органы пищеварения,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проектировании новых зданий жилого и общественного назначения предусматривается, чтобы среднегодовая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 продуктов радона и торона в воздухе помещений ЭРОА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Rn </w:t>
      </w:r>
      <w:r>
        <w:rPr>
          <w:rFonts w:ascii="Times New Roman"/>
          <w:b w:val="false"/>
          <w:i w:val="false"/>
          <w:color w:val="000000"/>
          <w:sz w:val="28"/>
        </w:rPr>
        <w:t>+ 4,6 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превышала 100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мощность эффективной дозы гамма-излучения не превышала мощность дозы на открытой местности более чем на 0,2 мкЗв/ч.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эксплуатируемых зданиях среднегодовая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 продуктов радона и торона в воздухе жилых помещений не должна превышать 200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При более высоких значениях объемной активности проводятся защитные мероприятия, направленные на снижение поступления радона в воздух помещений и улучшение вентиляции помещений. Защитные мероприятия проводятся также, если мощность эффективной дозы гамма-излучения в помещениях превышает мощность дозы на открытой местности более чем на 0,2 мкЗв/ч.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выборе участков территорий под строительство жилых домов и зданий социально-бытового назначения отводятся участки с гамма-фоном не превышающим 0,3 мкГр/ч и плотностью потока радона с поверхности грунта не более 80 мБк/(м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Эффективная удельная активность (А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) природных радионуклидов в строительных материалах (щебень, гравий, песок, бутовый и пиленный камень, цементное и кирпичное сырье и другие), добываемых на их месторождениях или являющихся побочным продуктом промышленности, а также отходы промышленного производства, используемые для изготовления строительных материалов (золы, шлаки), и готовой продукции не должна превышать: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материалов, используемых в строящихся и реконструируемых жилых и общественных зданиях (I класс):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16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Ra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 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удельные активности </w:t>
      </w:r>
      <w:r>
        <w:rPr>
          <w:rFonts w:ascii="Times New Roman"/>
          <w:b w:val="false"/>
          <w:i w:val="false"/>
          <w:color w:val="000000"/>
          <w:vertAlign w:val="superscript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Rа и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>Тh, находящихся в радиоактивном равновесии с остальными членами уранового и ториевого рядов, А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К-40 (Бк/кг);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материалов, используемых в дорожном строительстве в пределах территории населенных пунктов и зон перспективной застройки. Для наружной отделки жилых, общественных и производственных зданий, фонтаны, культурные и другие сооружения при условии, что ожидаемая индивидуальная годовая эффективная доза облучения, при планируемом виде их использования не должна превышать 10 мкЗв, а годовая коллективная эффективная доза не должна превышать более одного чел-Зв. Не допускается использование для строительства и внутренней отделки жилых и общественных зданий, детских, подростковых, медицинских организаций (II класс):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303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материалов, используемых в дорожном строительстве вне населенных пунктов (III класс):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06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1,5 кБк/кг &lt;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rPr>
          <w:rFonts w:ascii="Times New Roman"/>
          <w:b w:val="false"/>
          <w:i w:val="false"/>
          <w:color w:val="000000"/>
          <w:vertAlign w:val="subscript"/>
        </w:rPr>
        <w:t>&lt;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4,0 кБк/кг (IV класс) вопрос об использовании материалов решается в каждом случае отдельно по согласованию с территориальным подразделением ведомства государственного органа в сфере санитарно-эпидемиологического благополучия.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4,0 кБк/кг материалы не допускается использовать в строительстве.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Предварительная оценка допустимости использования воды для питьевых целей по показателям радиационной безопасности дается по удельной суммарной альфа- (А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 и бета-активности (А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). При значениях А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ниже 0,2 и 1,0 Бк/кг, соответственно, дальнейшие исследования воды не являются обязательными. В случае превышения указанных уровней проводится анализ содержания радионуклидов в воде. Если при совместном присутствии в воде нескольких природных и техногенных радионуклидов выполняется условие: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i-го радионуклида в воде, Бк/кг;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соответствующие уровни вмешательства значения дозовых коэффициентов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нормативам, то мероприятия по снижению радиоактивности питьевой воды не являются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Критическим путем облучения людей за счет 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Rn, содержащегося в питьевой воде, является переход радона в воздух помещения и последующее ингаляционное поступление дочерних продуктов радона в организм. Уровень вмешательства для 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Rn в питьевой воде составляет 60 Бк/кг. Определение удельной активности 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>Rn в питьевой воде из подземных источников при децентрализованном водоснабжении является обязательным.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возможном присутствии в воде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H,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C, </w:t>
      </w:r>
      <w:r>
        <w:rPr>
          <w:rFonts w:ascii="Times New Roman"/>
          <w:b w:val="false"/>
          <w:i w:val="false"/>
          <w:color w:val="000000"/>
          <w:vertAlign w:val="superscript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I, </w:t>
      </w:r>
      <w:r>
        <w:rPr>
          <w:rFonts w:ascii="Times New Roman"/>
          <w:b w:val="false"/>
          <w:i w:val="false"/>
          <w:color w:val="000000"/>
          <w:vertAlign w:val="superscript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Pb, </w:t>
      </w:r>
      <w:r>
        <w:rPr>
          <w:rFonts w:ascii="Times New Roman"/>
          <w:b w:val="false"/>
          <w:i w:val="false"/>
          <w:color w:val="000000"/>
          <w:vertAlign w:val="superscript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Ra,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Th,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>U (в зонах наблюдения радиационных объектов I и II категории по потенциальной опасности) определение удельной активности этих радионуклидов в воде является обязательным.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Санитарно-эпидемиологическая экспертиза пищевого продукта и ограничение облучения населения осуществляется путем регламентации содержания допустимых уровней радионуклидов цезия-137 и стронция-90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Содержание радионуклидов в чае (черный, зеленый, плиточный) не должно превышать по цезию 137 – 400 Бк/кг, стронцию 90 – 200 Бк/кг.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Содержание радионуклидов в кофе (в зернах, молотый, растворимый) не должно превышать по цезию 137 – 300 Бк/кг, стронцию 90 – 100 Бк/кг.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Содержание радионуклидов в БАД-ах на растительной основе, в том числе цветочная пыльца (сухие чаи), жидкие (эликсиры, бальзамы, настойки) не должно превышать по цезию 137 – 200 Бк/кг, стронцию 90 – 100 Бк/кг".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радионуклидов в лекарственных растениях (травы, кора, корневище, плоды) не превышает по цезию 137 – 400 Бк/кг, стронцию 90 – 200 Бк/кг.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Готовые к употреблению пищевые продукты из фруктов, овощей, ягод (консервированные овощи, грибы, варенья, джемы, сиропы, концентраты, напитки, соки) проходят исследования на радиационную безопасность.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Содержание радионуклидов в табаке и табачных изделиях не должно превышать по цезию 137 – 120 Бк/кг, стронцию 90 – 50 Бк/кг.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Оценка радиоактивности твердого топлива (уголь) включает: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мощности дозы гамма-излучения и определение однородности участка. Участки месторождения (пласта) считаются однородными при разности значений мощности эквивалентной дозы гамма излучения не более 30 % на всей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удельную активность природных радионуклидов угля и золы.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радиоактивности твердого топлива производится на стадии разведки месторождения или поверхностной съемки территории для открытого карьера или пласта в забое скважины.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годовая эффективная доза не должно превышать 10 мкЗв, а коллективная эффективная годовая доза – не более 1 чел-Зв.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системы ограничений и вида безопасного использования топлива производится на основании анализа удельной активности природных радионуклидов. Сумма отношений удельной активности радионуклидов урана (радия) и тория к минимально значимым удельным активностям (С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U(Ra)</w:t>
      </w:r>
      <w:r>
        <w:rPr>
          <w:rFonts w:ascii="Times New Roman"/>
          <w:b w:val="false"/>
          <w:i w:val="false"/>
          <w:color w:val="000000"/>
          <w:sz w:val="28"/>
        </w:rPr>
        <w:t>,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U (</w:t>
      </w:r>
      <w:r>
        <w:rPr>
          <w:rFonts w:ascii="Times New Roman"/>
          <w:b w:val="false"/>
          <w:i w:val="false"/>
          <w:color w:val="000000"/>
          <w:vertAlign w:val="superscript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Ra),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>Th, находящихся в радиоактивном равновесии с остальными членами уранового и ториевого рядов, соответственно, Бк/кг.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МЗУА природного урана и тория, Бк/кг.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значения С 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 класс радиационной опасности угля.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 объект недропользования по добыче твердого топлива при отводе земельного участка и при эксплуатации твердого топлива населением выдается санитарно-эпидемиологическое заключение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Установление класса радиационной опасности золы и вида ее безопасного использования в качестве строительного материала осуществляется по показателю удельной эффективной активности.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прогнозирование удельной эффективной активности золы, образующейся при сжигании топлива, могут быть проведены по результатам радиационных испытаний угля и определяется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225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уголь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rPr>
          <w:rFonts w:ascii="Times New Roman"/>
          <w:b w:val="false"/>
          <w:i w:val="false"/>
          <w:color w:val="000000"/>
          <w:sz w:val="28"/>
        </w:rPr>
        <w:t>– удельная эффективная активность природных радионуклидов в пробе угля;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уголь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абсолютная погрешность определения 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уголь </w:t>
      </w:r>
      <w:r>
        <w:rPr>
          <w:rFonts w:ascii="Times New Roman"/>
          <w:b w:val="false"/>
          <w:i w:val="false"/>
          <w:color w:val="000000"/>
          <w:vertAlign w:val="subscript"/>
        </w:rPr>
        <w:t>эфф.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концентрации радионуклидов в золе, определяется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>– зольность угля,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значения удельной активности устанавливается класс радиационной опасности и вид использования.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Технология разведки, добычи, транспортировки и переработки нефтяной и нефтеводяной суспензии не допускает возможность загрязнения естественными радионуклидами технологического оборудования и объектов окружающей среды выше уровней предусмотренных настоящими нормативами.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содержании в нефти природных радионуклидов в количестве не более 10 уровней вмешательства (УВ) для воды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24</w:t>
      </w:r>
      <w:r>
        <w:rPr>
          <w:rFonts w:ascii="Times New Roman"/>
          <w:b w:val="false"/>
          <w:i w:val="false"/>
          <w:color w:val="000000"/>
          <w:sz w:val="28"/>
        </w:rPr>
        <w:t>) она используется без ограничения. При содержании радионуклидов более 10 уровней вмешательства для воды нефть допускается к переработке только после ее очистки до указанной величины (10 УВ).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Содержание естественных радионуклидов в пластовых водах, закачиваемых в нефтегазоностный горизонт в процессе добычи нефтепродуктов не нормируется. При закачке их в водоносные горизонты или сбросе на рельеф местности концентрации ЕРН в них не должно превышать 10 УВ для воды.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Удельная активность природных радионуклидов в минеральных удобрениях и агрохимикатах не должно превышать: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176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удельные активности урана-238 (радия-226) и тория-232 (тория-228), находящихся в радиоактивном равновесии с остальными членами уранового и ториевого рядов,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содержание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К в минеральных удобрениях и агрохимикатах не устанавливается. При обращении с материалами, содержащими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К, соблюдаются требования по ограничению облучения населения за счет природных источников излучения,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Удельная активность природных радионуклидов в фосфорных удобрениях и мелиорантах не должно превышать: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81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удельные активности урана-238 (радия-226) и тория-232 (тория-228), находящихся в радиоактивном равновесии с остальными членами уранового и ториевого рядов соответственно.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обеспечения радиационной безопасности населения и работников организаций и планирования видов и объема радиационного контроля при обращении с материалами с повышенным содержанием природных радионуклидов вводится следующая их классификация: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 класс: А 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740 Бк/кг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II класс: 0,74 &lt;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1,5 кБк/кг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III класс: 1,5 &lt;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4,0 кБк/кг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IV класс: А 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і 4,0 кБк/кг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Обращение с материалами I класса в производственных условиях осуществляется без каких-либо ограничений.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с материалами II, III, IV класса  выдается санитарно-эпидемиологическое  заключение,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Предприятие до начала разработки месторождения строительных материалов, минеральных удобрений, мелиорантов и топливно-энергетического сырья получает санитарно-эпидемиологическое  заключение о степени его радиационной опасности и условиях использования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Норматив по ограничению медицинского облучения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Радиационная защита пациентов при медицинском облучении основывается на необходимости получения полезной диагностической информации и/или терапевтического эффекта от соответствующих медицинских процедур при наименьших уровнях облучения (для лучевой терапии это требование относится к здоровым, не намеренно облучаемым, органам и тканям). Для обеспечения радиационной защиты пациентов применяются принципы обоснования назначения медицинских процедур и оптимизации защиты пациентов. При проведении профилактических медицинских рентгенологических исследований и научных исследований практически здоровых лиц годовая эффективная доза облучения этих лиц не должно превышать 1 мЗв.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Лица (не персонал рентгенорадиологических отделений), оказывающие помощь в поддержке пациентов (тяжелобольных, детей) при выполнении рентгенорадиологических процедур, не должны подвергаться облучению в дозе, превышающей 5 мЗв в год. Такие же требования предъявляются к радиационной безопасности взрослых лиц, проживающих вместе с пациентами, прошедшими курс радионуклидной терапии или брахитерапии с имплантацией закрытых источников и выписанных из клиники. Для остальных взрослых лиц, а также для детей, контактирующих с пациентами, выписанными из клиники после радионуклидной терапии или брахитерапии, предел дозы составляет 1 мЗв в год.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Пациенты, проходящие курс радионуклидной терапии или брахитерапии с имплантацией закрытых источников, могут быть выписаны из клиники при условии, что уровень гамма - излучения, испускаемого из тела, удовлетворяет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 Выписка пациента после терапии радионуклидами,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нормативов, допускается, если введенная или остаточная активность радионуклидов в теле или измеренная мощность дозы в воздухе вблизи тела пациента ниже соответствующих значений,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 Перед выпиской пациентам следует дать письменные и устные инструкции относительно мер предосторожности, которые принимаются с тем, чтобы защитить от облучения членов семьи, с которыми они могут вступать в контакт. Такие же требования предъявляются к режиму амбулаторного лечения пациентов.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смерти пациента, в организме которого находится кардиостимулятор с радионуклидным источником энергии, кремация тела проводится после удаления источника.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планировании и проведении процедур, связанных с облучением ионизирующим излучением, в медицинской организации определяются и регистрируются дозы у всех лиц, подвергающихся медицинскому облучению.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Норматив по ограничению облучения населения в условиях</w:t>
      </w:r>
      <w:r>
        <w:br/>
      </w:r>
      <w:r>
        <w:rPr>
          <w:rFonts w:ascii="Times New Roman"/>
          <w:b/>
          <w:i w:val="false"/>
          <w:color w:val="000000"/>
        </w:rPr>
        <w:t>радиационной аварии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Прогнозируемые уровни облучения, при которых необходимы защитные мероприятия проводятся, если предполагаемая доза излучения за короткий срок (2 суток) достигает уровней, при превышении которых возможны детерминированные эффекты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нормативам).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хроническом облучении в течение жизни защитные мероприятия обязательны, если годовые поглощенные дозы превышают уровни хронического облучения, создающие риск серьезных детерминированных эффектов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Уровни вмешательства для временного отселения населения составляют: для начала временного отселения – 30 мЗв в месяц, для окончания временного отселения 10 мЗв в месяц. Если прогнозируется, что накопленная за один месяц доза будет находиться выше указанных уровней в течение года, следует решать вопрос об отселении населения на постоянное место жительства.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проведении противорадиационных вмешательств, пределы доз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нормативов) не применяются.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аварии, повлекшей за собой радиоактивное загрязнение обширной территории, на основании контроля и прогноза радиационной обстановки устанавливается зона радиационной аварии. В зоне радиационной аварии проводится контроль радиационной обстановки и осуществляются мероприятия по снижению уровней облучения населения.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Критерии для принятия неотложных решений в начальном периоде радиационной аварии и принятие решений о мерах защиты населения в случае крупной радиационной аварии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 Критерии для принятия решений об ограничении потребления загрязненных продуктов питания в первый год после возникновения аварии, а также критерии для принятия решения об ограничении потребления загрязненных воды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поздних стадиях радиационной аварии, повлекшей за собой загрязнение обширных территорий долгоживущими радионуклидами, решения о защитных мероприятиях принимаются с учетом сложившейся радиационной обстановки и конкретных социально-экономических условий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нормативам).</w:t>
      </w:r>
    </w:p>
    <w:bookmarkEnd w:id="75"/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Значения допустимых уровней радиационного воздействия в</w:t>
      </w:r>
      <w:r>
        <w:br/>
      </w:r>
      <w:r>
        <w:rPr>
          <w:rFonts w:ascii="Times New Roman"/>
          <w:b/>
          <w:i w:val="false"/>
          <w:color w:val="000000"/>
        </w:rPr>
        <w:t>нормальных условиях эксплуатации источников ионизирующего</w:t>
      </w:r>
      <w:r>
        <w:br/>
      </w:r>
      <w:r>
        <w:rPr>
          <w:rFonts w:ascii="Times New Roman"/>
          <w:b/>
          <w:i w:val="false"/>
          <w:color w:val="000000"/>
        </w:rPr>
        <w:t>излучения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Для каждой категории облучаемых лиц значение допустимого уровня радиационного воздействия для данного пути облучения определено годовому пределу дозы (усредненному за пять лет),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Значения допустимых уровней для всех путей облучения определены для стандартных условий, которые характеризуются следующими параметрами: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объемом вдыхаемого воздуха V, с которым радионуклид поступает в организм на протяжении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временем облучения t в течение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геометрией внешнего облучения потоками ионизирующего излучения.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 установлены следующие значения стандартных параметров: V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2,4х10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год; t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1700 ч в год; M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0. Для населения установлены следующие значения стандартных параметров: t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8800 ч в год; M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730 кг в год для взрослых. Годовой объем вдыхаемого воздуха установлен в зависимости от возраста: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Числовые значения среднегодовых допустимых плотностей потоков частиц при внешнем облучении всего тела, кожи и хрусталика глаза лиц из персонала моноэнергетическими электронами, бета-частицами, моноэнергетическими фотонами и моноэнергетическими нейтронами, значения допустимого радиоактивного загрязнения поверхностей рабочих помещений и находящегося в них оборудования, кожных покровов, специальной одежды, специальной обуви и других средств индивидуальной защиты персонала, допустимые уровни снимаемого радиоактивного загрязнения поверхности транспортных средств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Значения среднегодовых допустимых плотностей потоков частиц даны для широкого диапазона энергий излучения и двух наиболее вероятных геометрий облучения: изотропного (2p или 4p) поля излучения и падения параллельного пучка излучения на тело спереди (передне-задняя геометрия).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Для кожных покровов, специальной одежды и обуви, других средств индивидуальной защиты нормируется общее (снимаемое и не снимаемое) радиоактивное загрязнение. В остальных случаях нормируется только снимаемое загрязнение.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общего радиоактивного загрязнения кожных покровов определены с учетом проникновения доли радионуклида в кожу и в организм. Расчет проведен в предположении, что общая площадь загрязнения не должна превосходить 300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Линейные коэффициенты радиационного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Облучаемая группа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риска злокачественных новообразований,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риска наследственных эффектов, 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население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пределы доз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величины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группы 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мЗв в год в среднем за любые последовательные 5 лет, но не более 50 мЗв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мЗв в год в среднем за любые последовательные 5 лет, но не более 5 мЗв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за год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хрусталике глаза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кистях и стопах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мЗв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мЗв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мЗв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мЗв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мЗв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мЗв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допускается одновременное облучение до указанных пределов по всем нормируемым величинам;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пределы доз, как и все остальные допустимые уровни облучения персонала группы Б, равны 1/4 значений для персонала группы А. Далее в тексте все нормативные значения для категории "персонал" приводятся только для группы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относится к дозе на глубине 300 миллиграмм на квадратный сантиметр (далее –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относится к среднему по площади в 1 квадратный сантиметр (далее – см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) значению в базальном слое кожи толщиной 5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покровным слоем толщиной 5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На ладонях толщина покровного слоя – 40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Указанным пределом допускается облучение всей кожи человека при условии, что в пределах усредненного облучения любого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кожи этот предел не будет превышен. Предел дозы при облучении кожи лица обеспечивает не превышение предела дозы на хрусталик от бета-частиц.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Классы радиационной опасности угля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радиационной опасности угля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отношений удельной активности радионуклидов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МЗУА,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уголь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использования угля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вводится никаких ограничений на использование угля в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угля в хозяйственной деятельности не допускается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Классы радиационной опасности золы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радиационной опасности золы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радионуклидов,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зола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эфф. прогн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зола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эфф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Бк/кг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безопасного использования золы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используется в строящихся и реконструируемых жилых и общественных зданиях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370 до 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используется в дорожном строительстве в пределах территории населенных пунктов и зон перспективной застройки, а так же при возведении производственных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740-1500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используется в дорожном строительстве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 до 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использования золы решается в каждом случае отдельно по согласованию с территориальным подразделением ведомства государственного органа в сфере санитарно-эпидемиологического благополучия населения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Активность радионуклидов в теле взрослого пациента (ГБк) после радионуклидной терапии или брахитерапии с имплантацией закрытых источников и мощность эквивалентной дозы (мкЗв/ч) на расстоянии 1 м от поверхности тела, при которых разрешается выписка пациента из клиники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полураспада, сутки (далее – сут)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в теле, ГБк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дозы, мкЗв/ч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составе имплантатов для брахитерапии предстательной железы.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многократного лечения в течение года активность в теле и мощность дозы уменьшаются в число раз, равное числу курсов лечения за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уровни облучения,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которых необходимы защитные мероприятия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или ткань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Поглощенная доза в органе или ткани за 2 суток,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тело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 глаза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хронического облучения, создающие риск серьезных детерминированных эффектов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или ткань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поглощенная доза, Гр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 глаза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костный мозг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принятия неотложных решений в начальном периоде радиационной аварии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защиты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Предотвращаемая доза за первые 10 суток, мГр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тело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железа, легкие, кожа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Йодная профилактика: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только для щитовидной железы.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принятия решений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Предотвращаемая эффективная доза, мЗв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потребления загрязненных пищевых продуктов и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за первый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1/год в последующие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за первый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10/год в последующие годы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за первый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за первый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за все время отселения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уровень облучения, предотвращаемого защитным мероприятием не превосходит уровень А, меры защиты связанные с нарушением нормальной жизнедеятельности населения, а также хозяйственного и социального функционирования территории могут не проводиться.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принятия решений об ограничении потребления загрязненных продуктов питания в первый год после возникновения аварии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радионуклида в пищевых продуктах, кБк/кг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предотвращаемое защитным мероприятием облучение превосходит уровень А, но не достигает уровня Б, решение о выполнении мер защиты принимается по принципам обоснования и оптимизации с учетом конкретной обстановки и местных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уровень облучения, предотвращаемого достигает и превосходит уровень Б выполняются соответствующие меры защиты, даже если они связаны с нарушением нормальной жизнедеятельности населения, хозяйственного и социального функционирования территории.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объем вдыхаемого воздуха для разных возрастных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(старше 17 лет)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эквивалентной дозы и среднегодовые допустимые плотности потока моноэнергетических электронов для лиц из персонала при облучении кожи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электронов,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коже на единичный флюенс,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ИЗО – изотропное (2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) поле излучения, 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ПЗ – облучение параллельным пучком в передне-задней геометрии.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эквивалентной дозы и среднегодовые допустимые плотности потока моноэнергетических электронов для лиц из персонала при облучении хрусталиков глаз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электронов,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хрусталике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 – изотропное (2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поле излучения, ПЗ – облучение параллельным пучком в передне-задней геометрии.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Флюенс частиц Ф – отношение dN/d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 dN – количество частиц, падающих на сферу с площадью поперечного сечения d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Ф=dN/d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,м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потока частиц n – отношение dN/(d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dt), где dN – количество частиц, падающих на сферу с площадью поперечного сечения d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 интервал времени dt: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n=dN/(d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dt),м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эквивалентной дозы и среднегодовые допустимые плотности потока бета-частиц для лиц из персонала при контактном облучении кожи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энергия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бета-спектра, МэВ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коже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эффективной дозы и среднегодовые допустимые плотности потока моноэнергетических фотонов для лиц из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внешнем облучении всего тела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на единичный флюенс,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потока,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 в воздухе на единичный флюенс,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ИЗО – изотропное (4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) поле излучения, 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ПЗ – облучение параллельным пучком в передне-задней геометрии.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Керма – отношение суммы начальных кинетических энергий dE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всех заряженных ионизирующих частиц, образовавшихся под действием косвенно ионизирующего излучения в элементарном объеме вещества, к массе dm вещества в этом объеме: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кермы - грей (Гр).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Керма и поглощенная доза равны друг другу в той степени, с какой достигается равновесие заряженных частиц и с какой можно пренебречь тормозным излучением и ослаблением потока фотонов на пути пробега вторичных электронов.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эквивалентной дозы и среднегодовые допустимые плотности потока моноэнергетических фотонов для лиц из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облучении кожи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коже на единичный флюенс,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1,42+0,5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3,13+03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изотропное (2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поле излучения, ПЗ – облучение параллельным пучком в передне-задней геометрии.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эквивалентной дозы и среднегодовые допустимые плотности потока моноэнергетических фотонов для лиц из персонала при облучении хрусталиков глаз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хрусталике на единичный флюенс,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7,26+04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8,64+03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1,10+03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изотропное (4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поле излучения, ПЗ – облучение параллельным пучком в передне-задней геометрии.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эффективной дозы и среднегодовые допустимые плотности потока моноэнергетических нейтронов для лиц из персонала при внешнем облучении всего тела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нейтронов,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на единичный флюенс,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потока,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нейтроны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4,30+2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3,28+2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2,37+2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2,16+2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2,24+2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2,30+2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1,79+2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1,37+2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8,49+1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5,46+1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3,30+1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1,74+1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1,05+1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изотропное (4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поле излучения, ПЗ – облучение параллельным пучком в переднезадней геометрии.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уровни радиоактивного загрязнения поверхностей рабочих помещений и находящегося в них оборудования, кожных покровов, спецодежды, спецобуви и других средств индивидуальной защиты персонала,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загрязнения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нуклиды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Неповрежденная кожа, спецбелье, полотенца, внутренняя поверхность лицевых частей средств индивидуальной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спецодежда, внутренняя поверхность дополнительных средств индивидуальной защиты, наружная поверхность спец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помещений постоянного пребывания персонала и находящегося в них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помещений периодического пребывания персонала и находящегося в них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дополнительных средств индивидуальной защиты, снимаемых в сан шлюзах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кожных покровов, специальной одежды и обуви, других средств индивидуальной защиты нормируется общее (снимаемое и неснимаемое) радиоактивное загрязнение. В остальных случаях нормируется только снимаемое загрязнение;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отдельным относятся альфа-активные нуклиды, среднегодовая допустимая объемная активность которых в воздухе рабочих помещений ДОА &lt; 0,3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Sr + 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>Y - 40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уровни снимаемого радиоактивного загрязнения поверхности транспортных средств, используемых для перевозки радиоактивных веществ и материалов,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загрязнения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Снимаемое (нефиксированное)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Неснимаемое (фиксированное)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транспортного средства и охранной тары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поверхность охранной тары и наружная поверхность транспортного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Sr + 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>Y - 40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" cy="1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дозовых коэффициентов, предела годового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воздухом и допустимой среднегодовой объемной активности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воздухе отдельных радионуклидов для персонала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полураспада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при ингаляции [1]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Дозовый коэффициент воздействия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перс, Зв/Бк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годового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среднегодовая объемная 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4,50+02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K-40[1]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1,28+09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3,70+06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7,50+04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6,50+04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1,53+06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4,20+06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3Rh-106m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6,50+06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1,27+02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9,30+15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1,00+13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1,35+11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1,03+08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1,08+14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1,50+02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1,50+02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1,20+03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9,00+06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2,41+02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1,43+07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3,00+06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1,60+03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7,34+03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3,27+04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2,7+04[2]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1,1+01[3]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4,47+09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6,0+03[3]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2,4[3]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6,0+03[3]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2,4[3]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3,7-021)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2,41+04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7,8+01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6,54+03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7,8+011)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3,2-021)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3,1-021)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6,8+041)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8,5+041)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8,26+07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6,3-021)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4,32+02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1,52+02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8,50+03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1,56+07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3,39+05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Сохранены значения ПГПперс и ДОАперс, приведенные в настоящем нормативе, в связи с достигнутым уровнем безопасности на предприятиях Казахстана. Эти значения ниже, чем значения, полученные с использованием дозовых коэффициентов из данного приложения.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6,90+03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1,38+03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3,50+02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8,98+02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[1]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поступлении изотопа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K дополнительно к природной смеси изотопов калия;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[2]</w:t>
      </w:r>
      <w:r>
        <w:rPr>
          <w:rFonts w:ascii="Times New Roman"/>
          <w:b w:val="false"/>
          <w:i w:val="false"/>
          <w:color w:val="000000"/>
          <w:sz w:val="28"/>
        </w:rPr>
        <w:t>Соответствует годовому пределу поступления урана, равного 500 мг в год и величина которого определяется химической токсичностью соединений урана.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 на случай поступления радионуклидов с вдыхаемым воздухом приведены значения дозового коэффициента, допустимого годового поступления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, допустимой среднегодовой объемной активности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настоящее приложение не входят инертные газы, поскольку они являются источниками внешнего облучения, а также изотопы радона с продуктами их распада. Природные радионуклиды </w:t>
      </w:r>
      <w:r>
        <w:rPr>
          <w:rFonts w:ascii="Times New Roman"/>
          <w:b w:val="false"/>
          <w:i w:val="false"/>
          <w:color w:val="000000"/>
          <w:vertAlign w:val="superscript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Rb, </w:t>
      </w:r>
      <w:r>
        <w:rPr>
          <w:rFonts w:ascii="Times New Roman"/>
          <w:b w:val="false"/>
          <w:i w:val="false"/>
          <w:color w:val="000000"/>
          <w:vertAlign w:val="superscript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In, </w:t>
      </w:r>
      <w:r>
        <w:rPr>
          <w:rFonts w:ascii="Times New Roman"/>
          <w:b w:val="false"/>
          <w:i w:val="false"/>
          <w:color w:val="000000"/>
          <w:vertAlign w:val="superscript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Nd, </w:t>
      </w:r>
      <w:r>
        <w:rPr>
          <w:rFonts w:ascii="Times New Roman"/>
          <w:b w:val="false"/>
          <w:i w:val="false"/>
          <w:color w:val="000000"/>
          <w:vertAlign w:val="superscript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Sm и </w:t>
      </w:r>
      <w:r>
        <w:rPr>
          <w:rFonts w:ascii="Times New Roman"/>
          <w:b w:val="false"/>
          <w:i w:val="false"/>
          <w:color w:val="000000"/>
          <w:vertAlign w:val="superscript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>Re не включены в таблицу, поскольку они нормируются по их химической токсичности. Из-за химической токсичности урана поступление через органы дыхания его соединений типов Б или П не должно превышать 2,5 мг в сутки и 500 мг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химическая форма соединения данного радионуклида неизвестна, то следует использовать данные из настоящего приложения для соединения с наибольшим значением величины дозового коэффициента и, соответственно, наименьшими значениями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радионуклидов через органы дыхания и среднегодовая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объемная активность их во вдыхаемом воздухе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скорости перехода радионуклида из легких в кровь, поступающие через органы дыхания в виде радиоактивных аэрозолей радионуклиды и их химические соединения разделены на типы: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“М” (медленно растворимые соединения): при растворении в легких веществ, отнесенных к этому типу, наблюдается компонента активности радионуклида,  поступающая  в кровь со скоростью  0,0001 сут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“П” (соединения, растворимые с промежуточной скоростью): при растворении в легких веществ, отнесенных к этому типу, основная активность радионуклида поступает в кровь со скоростью  0,005 сут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“Б” (быстро растворимые соединения): при растворении в легких веществ, отнесенных к этому типу, основная активность радионуклида поступает в кровь со скоростью 100 сут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радионуклиды в форме радиоактивных газов выделены в виде типа “Г” (Г1-Г3 - газы и пары соединений некоторых элементов).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соединений элементов по типам при ингаляции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тритированной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тритий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Тритированный металл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Элементарный углерод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(CO)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лантаноидами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нитраты, металл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Алюмосиликаты (стекло)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Zn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Sn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Bi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лантаноидов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в элементарной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Sr, Ba, Ge, Sn, Pb, As, Sb, Bi, Ag, Cu, Au, Zn, Cd, Hg, Mo, 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Ca, Sr, Ba, Ra, As, Sb, Bi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 углерода (CS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Ni(CO)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неорганические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сульфиды, галогениды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в элементарной форме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неорганические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MoS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металл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Тетраоксид рутения RuO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сульфиды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сульфиды, галогениды, нитраты, фосфат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сульфиды, сульфаты,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теллура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Элементарный 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Метилиод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ториды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фториды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фториды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Гадолиний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Труднорастворимые соединения, 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Элементарный тантал, оксиды, гидроксиды, галогениды, карбиды, нитраты, нитриды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нитраты, элементарный ирридий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нитраты, сульфиды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органические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ртути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Протактиний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Нептуний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 кроме хелатов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Эйнштейний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дозовых коэффициентов, пределов годового поступления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воздухом и пищей и допустимой объемной активности во вдыхаемом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воздухе отдельных радионуклидов для критических групп населения</w:t>
      </w:r>
      <w:r>
        <w:rPr>
          <w:rFonts w:ascii="Times New Roman"/>
          <w:b w:val="false"/>
          <w:i w:val="false"/>
          <w:color w:val="000000"/>
          <w:vertAlign w:val="superscript"/>
        </w:rPr>
        <w:t>[1]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 воздухом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 пищей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Критическая группа [2]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Дозовый коэффициент,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годового поступления,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среднегодовая объемная активность,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Критическая группа [2]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Дозовый коэффициент,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годового поступления,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Зв/Бк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 в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нас,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 в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 час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[7]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1,28+9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час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7,50+4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2,03+4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1,57+7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Ba-135m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6,00+4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1,03+8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Hf-178m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Hf-179m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Ir-193m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Hg-194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[9]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Hg-195m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[11]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[12]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Hg-197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[11]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[12]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Hg-203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[11]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[12]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1,43+7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7,70+4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1,40+10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3,27+4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7,04+8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2,34+7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4,47+9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2,14+6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8,26+7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1,56+7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3,39+5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8,98+2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сут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[1]</w:t>
      </w:r>
      <w:r>
        <w:rPr>
          <w:rFonts w:ascii="Times New Roman"/>
          <w:b w:val="false"/>
          <w:i w:val="false"/>
          <w:color w:val="000000"/>
          <w:sz w:val="28"/>
        </w:rPr>
        <w:t>За исключением случаев, отмеченных особо, регламентированные значения относятся ко всем возможным соединениям радионуклидов, поступающим в организм с воздухом, пищей и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[2]</w:t>
      </w:r>
      <w:r>
        <w:rPr>
          <w:rFonts w:ascii="Times New Roman"/>
          <w:b w:val="false"/>
          <w:i w:val="false"/>
          <w:color w:val="000000"/>
          <w:sz w:val="28"/>
        </w:rPr>
        <w:t>Обозначение критических групп: #1 - новорожденные дети до 1 года; #2 - дети в возрасте 1-2 года; #3 - дети в возрасте 2-7 лет; #4 - дети в возрасте 7-12 лет; #5 - дети в возрасте 12-17 лет; #6 - взрослые (старше 17лет);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[3]</w:t>
      </w:r>
      <w:r>
        <w:rPr>
          <w:rFonts w:ascii="Times New Roman"/>
          <w:b w:val="false"/>
          <w:i w:val="false"/>
          <w:color w:val="000000"/>
          <w:sz w:val="28"/>
        </w:rPr>
        <w:t>Неорганические соединения трития;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[4]</w:t>
      </w:r>
      <w:r>
        <w:rPr>
          <w:rFonts w:ascii="Times New Roman"/>
          <w:b w:val="false"/>
          <w:i w:val="false"/>
          <w:color w:val="000000"/>
          <w:sz w:val="28"/>
        </w:rPr>
        <w:t>Органические соединения трития;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[5]</w:t>
      </w:r>
      <w:r>
        <w:rPr>
          <w:rFonts w:ascii="Times New Roman"/>
          <w:b w:val="false"/>
          <w:i w:val="false"/>
          <w:color w:val="000000"/>
          <w:sz w:val="28"/>
        </w:rPr>
        <w:t>Неорганические соединения серы;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[6]</w:t>
      </w:r>
      <w:r>
        <w:rPr>
          <w:rFonts w:ascii="Times New Roman"/>
          <w:b w:val="false"/>
          <w:i w:val="false"/>
          <w:color w:val="000000"/>
          <w:sz w:val="28"/>
        </w:rPr>
        <w:t>Органические соединения серы;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[7]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поступлении  изотопа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K дополнительно к  природной смеси изотопов калия;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[8]</w:t>
      </w:r>
      <w:r>
        <w:rPr>
          <w:rFonts w:ascii="Times New Roman"/>
          <w:b w:val="false"/>
          <w:i w:val="false"/>
          <w:color w:val="000000"/>
          <w:sz w:val="28"/>
        </w:rPr>
        <w:t>Органические соединения ртути,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[9]</w:t>
      </w:r>
      <w:r>
        <w:rPr>
          <w:rFonts w:ascii="Times New Roman"/>
          <w:b w:val="false"/>
          <w:i w:val="false"/>
          <w:color w:val="000000"/>
          <w:sz w:val="28"/>
        </w:rPr>
        <w:t>Неорганические соединения ртути.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дозовых коэффициентов e 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мЗв/Бк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мЗв/Бк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2,0-6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Перечисленные ниже материнские радионуклиды приведены в условиях их равновесия с дочерними: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Ba-137m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Bi-210, Po-210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Bi-212, Tl-208 (0.36), Po-212 (0.64)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Tl-208 (0.36), Po-212 (0.64)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Po-218, Pb-214, Bi-214, Po-214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Rn-219, Po-215, Pb-211, Bi-211, Tl-207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Rn-220, Po-216, Pb-212, Bi-212, Tl-208(0.36), Po-212(0.64)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Rn-222, Po-218, Pb-214, Bi-214, Po-214, Pb-210, Bi-210, Po-210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Ra-222, Rn-218, Po-214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Ra-224, Rn-220, Po-216, Pb-212, Bi-212, Tl-208 (0.36), Po-212 (0.64)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Ra-225, Ac-225, Fr-221, At-217, Bi-213, Po-213, Pb-209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Ra-228, Ac-228, Th-228, Ra-224, Rn-220, Po-216, Pb-212, Bi-212, Tl-208 (0.36), Po-212 (0.64)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Th-природный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Ra-228, Ac-228, Th-228, Ra-224, Rn-220, Po-216, Pb-212, Bi-212, Tl-208 (0.36), Po-212 (0.64)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Pa-234m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Th-226, Ra-222, Rn-218, Po-214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Th-228, Ra-224, Rn-220, Po-216, Pb-212, Bi-212, Tl-208 (0.36), Po-212 (0.64)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Th-234, Pa-234m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U-природный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Th-234, Pa-234m, U-234, Th-230, Ra-226, Rn-222, Po-218, Pb-214, Bi-214, Po-214, Pb-210, Bi-210, Po-210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Np-240m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уровнях активности радионуклидов, меньше приведенных в таблице и условии применения МЗУА и МЗА одновременно, эффективная индивидуальная годовая доза облучения лиц из персонала и населения не превысит 10 мкЗв и в аварийных случаях 1 мЗв, а коллективная эффективная доза 1 чел-Зв при любых условиях использования. Эквивалентная доза на кожу не превысит 50 мЗв/год.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Природные радионуклиды оценивались при их попадании в потребительские товары из техногенных источников  (например, Ra-226, Po-210) или по их химической токсичности (для тория, урана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присутствует несколько нуклидов, то сумма отношений активности к их табличным значениям не должна превышать единицу. Приведенные в таблице радионуклиды в зависимости от минимально значимой суммарной активности (МЗА) делятся на 4 группы радиационной 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 - 1х10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Бк;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 - 1х10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1х10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- 1х10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1х10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 - 1х10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1х10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Бк, а также Kr-83m, Kr-85m и Xe-1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уровни радионуклидов цезия-137 и стронция-90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цезия-137, Бк/кг(л)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стронция-90, Бк/кг(л)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мясные продукты и субпродукты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Оленина, мясо диких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Птица, в том числе полуфабрикаты, свежие, охлажденные, замороженные (все виды убойной, промысловой и дикой птицы) Субпродукты птицы охлажденные и замороженные. В том числе: колбасные изделия, копчености, кулинарные изделия из мяса птицы;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мяса птицы и мясо растительные;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птицы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продукты в том числе: мясо морских млекопитающих, рыба маринованная, рыбная продукции, икра, молоки, аналоги икры, печень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Консервы, пресервы рыбные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 и вяленая копченая, соленая, рыбная кулинария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 ,ракообразные, земноводные, водоросли и травы морские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продукты их переработки Яичный порошок (в пересчете на исходный продукт с учетом содержания сухих веществ в нем и конечном продукте)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Молоко-сырье, сливки -сырье, молоко пастеризованное, стерилизованное и топленое, сметана, кисломолочные напитки,йогурт, втом числе творог и изделия творожные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и концентрированное, консервы молочные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сухие: молоко, сливки ,смеси для мороженого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(твердые, плавленые, мягкие, рассольные, брынза)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корнеплоды свежие и свежезамороженные, зелень 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ягоды, виноград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дикорастущие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овощи: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ягоды, виноград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дикорастущие ягоды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продовольственное, в том числе пшеница, рожь, трикале, овес, ячмень, просо, гречиха, рис, кукуруза, сорго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зернобобовых, горох, фасоль, маш, чипа, чечевица, 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Сахаристые кондитерские изделия: карамель, глазурь. и неглазурь. конфеты, помадные, ирис, халва, пастила, зефир, мармелад и т.д.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и изделия из 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Какао-бобы и какао 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 и пряности столовые (сухие)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масленичных культур (подсолнечника, сои, хлопчатника, кукурузы, льна, горчицы, рапса, арахиса)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(все виды) Продукты переработки растительных масел и животных жиров (Маргарин , кулинарный жир, кондитерские жиры, майонезы)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сырец говяжий, свиной, бараний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свиной охлажденный, замороженный, соленый, конченый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продукты на основе сочетания животных(включая молочный жир) и растительных 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 в качестве лечебно- профилактического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 безалкогольные (сокосодержащие, искусственно-минерализованные, изготавливаемые из концентратов)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брожения (изготавливаемые из концентратов)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вино, водка и другие спиртные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 хлебобулочные изделия бараночки сухарные изделия хлебные палочки, мучные кондитерские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крупы, толокно, хлопья, пищевые злаки, макаронные изделия,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, патока и продукты их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пищевые, биомасса одноклеточных растений, бактериологические препараты и дрожжи сухие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Бульоны сухие пищевые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Ксилит, сорбит, маннит и др. сахароспирты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и лечебно-профилактическая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основ. компоненту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основ. компоненту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БАД-источники преимущественно пищевых волокон(пектины, отруби, растительная клетчатка, микрокристаллическая целлюлоза)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 на растительной основе: сухие, жидкие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продукты детского питания в готовом для употребления виде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для питания детей раннего возраста Продукты прикорма на зерновой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плодоовощной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мясной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рыбной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– для сублимированных продуктов удельная активность определяется в восстановленном продукте.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 значимая удельная активность радионуклидов (МЗУА), минимальная значимая активность (МЗА) радионуклидов для открытых и закрытых радионуклидных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(уровни изъятия)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МЗУА, Бк/г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МЗА, Бк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 (2,03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 (1,01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 (4,9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 (69,1 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In-119ш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 (15,89 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 (5,76 cyт)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 (10,4 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 (9,01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Xe131m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 (12,6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 (34,2 г.)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 (24,4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 (5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 (12,7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 (64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 (15,8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 (1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 (1,2ч)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 (3,1ч)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Pb-202rn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Th-природный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U-природный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 (22,5 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 (l,15xl0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опасности закрытых радионуклидных источников в зависимости от отношения А/D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опасности закрытых радионуклидных источников, выбранная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ос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0,01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ос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МЗА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 – текущая активность радиоактивного источника, D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ос </w:t>
      </w:r>
      <w:r>
        <w:rPr>
          <w:rFonts w:ascii="Times New Roman"/>
          <w:b w:val="false"/>
          <w:i w:val="false"/>
          <w:color w:val="000000"/>
          <w:sz w:val="28"/>
        </w:rPr>
        <w:t>- пороговая активность, соответствующие опасному радионуклидному источнику, приведенная таблице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Пороговые значения активности для определения категории опасности для закрытых источников (D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Am-241/Ве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2,7E-02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Pu-239/Be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 (Rh-106)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 (Y-90)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1,9E-02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обогащение 10-20%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2,2E-02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U, обогащение &gt;20 %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2,2E-03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1,6E-02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2,2E-03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вмешательства на загрязненных территориях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разных стадиях радиационной аварии вмешательство регулируется зонированием загрязненных территорий, основанным на величине годовой эффективной дозы, которая может быть получена жителями в отсутствии мер радиационной защиты. Под годовой дозой здесь понимается эффективная доза, средняя у жителей населенного пункта за текущий год, обусловленная искусственными радионуклидами, поступившими в окружающую среду в результате радиационной аварии.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территории, где годовая эффективная доза не превышает 1 мЗв, производится обычный контроль радиоактивного загрязнения объектов окружающей среды и сельскохозяйственной продукции, по результатам которого оценивается доза облучения населения. Проживание и хозяйственная деятельность населения на этой территории по радиационному фактору не ограничивается. Эта территория не относится к зонам радиоактивного загрязнения. При величине годовой дозы более 1 мЗв загрязненные территории по характеру необходимого контроля обстановки и защитных мероприятий подразделяются на зоны.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Зонирование на ранней и промежуточной стадиях радиационной аварии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Зонирование на восстановительной стадии радиационной аварии: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радиационного контроля - от 1 мЗв до 5 мЗв. В этой зоне помимо мониторинга радиоактивности объектов окружающей среды, сельскохозяйственной продукции и доз внешнего и внутреннего облучения населения и его критических групп осуществляются меры по снижению доз на основе принципа оптимизации и другие необходимые активные меры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ограниченного проживания населения - от 5 мЗв до 20 мЗв. В этой зоне осуществляются те же меры мониторинга и защиты населения, что и в зоне радиационного контроля. Добровольный въезд на указанную территорию для постоянного проживания не ограничивается. Лицам, въезжающим на указанную территорию для постоянного проживания, разъясняется риск ущербу здоровья, обусловленный воздействием радиации;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отселения – от 20 мЗв до 50 мЗв. Въезд на указанную территорию для постоянного проживания не разрешен. В этой зоне не допускается постоянное проживание лиц репродуктивного возраста и детей. Здесь осуществляется радиационный мониторинг людей и объектов внешней среды, а также необходимые меры радиационной и медицинской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зона отчуждения - более 50 мЗв. В этой зоне постоянное проживание не допускается, а хозяйственная деятельность и природопользование регулируются специальными актами. Осуществляются меры мониторинга и защиты работающих с обязательным и индивидуальным дозиметрическим контролем.</w:t>
      </w:r>
    </w:p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вмешательства при обнаружении локальных радиоактивных загрязнений: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исследования - от 0,01 до 0,3 мЗв/год. Это такой уровень радиационного воздействия источника на население, при достижении которого требуется выполнить исследование источника с целью уточнения оценки величины годовой эффективной дозы и определения величины дозы, ожидаемой за 70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вмешательства - более 0,3 мЗв/год. Это такой уровень радиационного воздействия, при превышении которого требуется проведение защитных мероприятий с целью ограничения облучения населения.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лет.</w:t>
      </w:r>
    </w:p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необходимости, а также о характере, объеме и очередности защитных мероприятий принимается территориальными органами исполнительной власти с учетом следующих основных условий: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местонахождения загрязненных участков (жилая зона: дворовые участки, дороги и подъездные пути, жилые здания, сельскохозяйственные угодья, садовые и приусадебные участки и другие; промышленная зона: территория предприятия, здания промышленного и административного назначения, места для сбора отходов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площади загрязненных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возможного проведения на участке загрязнения работ, действий (процессов), которые могут привести к увеличению уровней радиационного воздействия на население;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мощности дозы гамма-излучения, обусловленной радиоактивным загрязнением;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мощности дозы гамма-излучения на различной глубине от поверхности почвы (при загрязнении территории).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header.xml" Type="http://schemas.openxmlformats.org/officeDocument/2006/relationships/header" Id="rId6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