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b232" w14:textId="714b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и представления отчетов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26 февраля 2015 года № 139. Зарегистрирован в Министерстве юстиции Республики Казахстан 10 апреля 2015 года № 10685.</w:t>
      </w:r>
    </w:p>
    <w:p>
      <w:pPr>
        <w:spacing w:after="0"/>
        <w:ind w:left="0"/>
        <w:jc w:val="both"/>
      </w:pPr>
      <w:r>
        <w:rPr>
          <w:rFonts w:ascii="Times New Roman"/>
          <w:b w:val="false"/>
          <w:i w:val="false"/>
          <w:color w:val="ff0000"/>
          <w:sz w:val="28"/>
        </w:rPr>
        <w:t xml:space="preserve">
      Сноска. Заголовок – в редакции приказа Министра национальной экономики РК от 30.03.2022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0"/>
    <w:p>
      <w:pPr>
        <w:spacing w:after="0"/>
        <w:ind w:left="0"/>
        <w:jc w:val="both"/>
      </w:pPr>
      <w:r>
        <w:rPr>
          <w:rFonts w:ascii="Times New Roman"/>
          <w:b w:val="false"/>
          <w:i w:val="false"/>
          <w:color w:val="000000"/>
          <w:sz w:val="28"/>
        </w:rPr>
        <w:t xml:space="preserve">
      В соответствии с подпунктом 4-3)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государственном имуществе"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01.11.2021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1. Утвердить прилагаемые:</w:t>
      </w:r>
    </w:p>
    <w:bookmarkEnd w:id="1"/>
    <w:bookmarkStart w:name="z20"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w:t>
      </w:r>
    </w:p>
    <w:bookmarkEnd w:id="2"/>
    <w:bookmarkStart w:name="z21"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разработки и представления отчетов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30.03.2022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обеспечить в установленном законодательством Республики Казахстан порядке:</w:t>
      </w:r>
    </w:p>
    <w:bookmarkEnd w:id="4"/>
    <w:bookmarkStart w:name="z317"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318" w:id="6"/>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bookmarkEnd w:id="6"/>
    <w:bookmarkStart w:name="z319" w:id="7"/>
    <w:p>
      <w:pPr>
        <w:spacing w:after="0"/>
        <w:ind w:left="0"/>
        <w:jc w:val="both"/>
      </w:pPr>
      <w:r>
        <w:rPr>
          <w:rFonts w:ascii="Times New Roman"/>
          <w:b w:val="false"/>
          <w:i w:val="false"/>
          <w:color w:val="000000"/>
          <w:sz w:val="28"/>
        </w:rPr>
        <w:t>
      3) размещение настоящего приказа на интернет - ресурсе Министерства национальной экономики Республики Казахстан</w:t>
      </w:r>
    </w:p>
    <w:bookmarkEnd w:id="7"/>
    <w:bookmarkStart w:name="z11" w:id="8"/>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8"/>
    <w:bookmarkStart w:name="z12"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национальной экономики</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 Б. Султанов</w:t>
      </w:r>
    </w:p>
    <w:p>
      <w:pPr>
        <w:spacing w:after="0"/>
        <w:ind w:left="0"/>
        <w:jc w:val="both"/>
      </w:pPr>
      <w:r>
        <w:rPr>
          <w:rFonts w:ascii="Times New Roman"/>
          <w:b w:val="false"/>
          <w:i w:val="false"/>
          <w:color w:val="000000"/>
          <w:sz w:val="28"/>
        </w:rPr>
        <w:t>10 марта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2015 года № 139</w:t>
            </w:r>
          </w:p>
        </w:tc>
      </w:tr>
    </w:tbl>
    <w:bookmarkStart w:name="z3" w:id="10"/>
    <w:p>
      <w:pPr>
        <w:spacing w:after="0"/>
        <w:ind w:left="0"/>
        <w:jc w:val="left"/>
      </w:pPr>
      <w:r>
        <w:rPr>
          <w:rFonts w:ascii="Times New Roman"/>
          <w:b/>
          <w:i w:val="false"/>
          <w:color w:val="000000"/>
        </w:rPr>
        <w:t xml:space="preserve"> Правила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w:t>
      </w:r>
    </w:p>
    <w:bookmarkEnd w:id="10"/>
    <w:p>
      <w:pPr>
        <w:spacing w:after="0"/>
        <w:ind w:left="0"/>
        <w:jc w:val="both"/>
      </w:pPr>
      <w:r>
        <w:rPr>
          <w:rFonts w:ascii="Times New Roman"/>
          <w:b w:val="false"/>
          <w:i w:val="false"/>
          <w:color w:val="ff0000"/>
          <w:sz w:val="28"/>
        </w:rPr>
        <w:t xml:space="preserve">
      Сноска. Правила – в редакции приказа Министра национальной экономики РК от 30.03.2022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1"/>
    <w:p>
      <w:pPr>
        <w:spacing w:after="0"/>
        <w:ind w:left="0"/>
        <w:jc w:val="left"/>
      </w:pPr>
      <w:r>
        <w:rPr>
          <w:rFonts w:ascii="Times New Roman"/>
          <w:b/>
          <w:i w:val="false"/>
          <w:color w:val="000000"/>
        </w:rPr>
        <w:t xml:space="preserve"> Глава 1. Общие положения</w:t>
      </w:r>
    </w:p>
    <w:bookmarkEnd w:id="11"/>
    <w:bookmarkStart w:name="z286" w:id="12"/>
    <w:p>
      <w:pPr>
        <w:spacing w:after="0"/>
        <w:ind w:left="0"/>
        <w:jc w:val="both"/>
      </w:pPr>
      <w:r>
        <w:rPr>
          <w:rFonts w:ascii="Times New Roman"/>
          <w:b w:val="false"/>
          <w:i w:val="false"/>
          <w:color w:val="000000"/>
          <w:sz w:val="28"/>
        </w:rPr>
        <w:t xml:space="preserve">
      1. Настоящие Правила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(далее – Правила) разработаны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статьи 13 Закона Республики Казахстан "О государственном имуществе" (далее – Закон) и определяют порядок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(далее – Отчет по исполнению плана развития).</w:t>
      </w:r>
    </w:p>
    <w:bookmarkEnd w:id="12"/>
    <w:bookmarkStart w:name="z287" w:id="13"/>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3"/>
    <w:bookmarkStart w:name="z324" w:id="14"/>
    <w:p>
      <w:pPr>
        <w:spacing w:after="0"/>
        <w:ind w:left="0"/>
        <w:jc w:val="both"/>
      </w:pPr>
      <w:r>
        <w:rPr>
          <w:rFonts w:ascii="Times New Roman"/>
          <w:b w:val="false"/>
          <w:i w:val="false"/>
          <w:color w:val="000000"/>
          <w:sz w:val="28"/>
        </w:rPr>
        <w:t>
      1) компания – национальные управляющие холдинги, национальные холдинги, национальные компании, акционером которых является государство;</w:t>
      </w:r>
    </w:p>
    <w:bookmarkEnd w:id="14"/>
    <w:bookmarkStart w:name="z325" w:id="15"/>
    <w:p>
      <w:pPr>
        <w:spacing w:after="0"/>
        <w:ind w:left="0"/>
        <w:jc w:val="both"/>
      </w:pPr>
      <w:r>
        <w:rPr>
          <w:rFonts w:ascii="Times New Roman"/>
          <w:b w:val="false"/>
          <w:i w:val="false"/>
          <w:color w:val="000000"/>
          <w:sz w:val="28"/>
        </w:rPr>
        <w:t>
      2) ключевой показатель деятельности – количественно измеримый показатель, позволяющий определить уровень достижения цели плана развития;</w:t>
      </w:r>
    </w:p>
    <w:bookmarkEnd w:id="15"/>
    <w:bookmarkStart w:name="z326" w:id="16"/>
    <w:p>
      <w:pPr>
        <w:spacing w:after="0"/>
        <w:ind w:left="0"/>
        <w:jc w:val="both"/>
      </w:pPr>
      <w:r>
        <w:rPr>
          <w:rFonts w:ascii="Times New Roman"/>
          <w:b w:val="false"/>
          <w:i w:val="false"/>
          <w:color w:val="000000"/>
          <w:sz w:val="28"/>
        </w:rPr>
        <w:t xml:space="preserve">
      3)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1 Закона;</w:t>
      </w:r>
    </w:p>
    <w:bookmarkEnd w:id="16"/>
    <w:bookmarkStart w:name="z327" w:id="17"/>
    <w:p>
      <w:pPr>
        <w:spacing w:after="0"/>
        <w:ind w:left="0"/>
        <w:jc w:val="both"/>
      </w:pPr>
      <w:r>
        <w:rPr>
          <w:rFonts w:ascii="Times New Roman"/>
          <w:b w:val="false"/>
          <w:i w:val="false"/>
          <w:color w:val="000000"/>
          <w:sz w:val="28"/>
        </w:rPr>
        <w:t>
      4) электронный отчет – отчет по исполнению плана развития, подготовленный на веб-портале Реестра, и подписываемый электронной цифровой подписью компании, выданной национальным удостоверяющим центром.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 w:id="18"/>
    <w:p>
      <w:pPr>
        <w:spacing w:after="0"/>
        <w:ind w:left="0"/>
        <w:jc w:val="left"/>
      </w:pPr>
      <w:r>
        <w:rPr>
          <w:rFonts w:ascii="Times New Roman"/>
          <w:b/>
          <w:i w:val="false"/>
          <w:color w:val="000000"/>
        </w:rPr>
        <w:t xml:space="preserve"> Глава 2. Порядок разработки и представления отчета по исполнению плана развития</w:t>
      </w:r>
    </w:p>
    <w:bookmarkEnd w:id="18"/>
    <w:bookmarkStart w:name="z293" w:id="19"/>
    <w:p>
      <w:pPr>
        <w:spacing w:after="0"/>
        <w:ind w:left="0"/>
        <w:jc w:val="both"/>
      </w:pPr>
      <w:r>
        <w:rPr>
          <w:rFonts w:ascii="Times New Roman"/>
          <w:b w:val="false"/>
          <w:i w:val="false"/>
          <w:color w:val="000000"/>
          <w:sz w:val="28"/>
        </w:rPr>
        <w:t>
      3. Отчет по исполнению плана развития разрабатывается и представляется в следующем порядке:</w:t>
      </w:r>
    </w:p>
    <w:bookmarkEnd w:id="19"/>
    <w:bookmarkStart w:name="z294" w:id="20"/>
    <w:p>
      <w:pPr>
        <w:spacing w:after="0"/>
        <w:ind w:left="0"/>
        <w:jc w:val="both"/>
      </w:pPr>
      <w:r>
        <w:rPr>
          <w:rFonts w:ascii="Times New Roman"/>
          <w:b w:val="false"/>
          <w:i w:val="false"/>
          <w:color w:val="000000"/>
          <w:sz w:val="28"/>
        </w:rPr>
        <w:t>
      1) первый раз - за три года с разбивкой по годам;</w:t>
      </w:r>
    </w:p>
    <w:bookmarkEnd w:id="20"/>
    <w:bookmarkStart w:name="z295" w:id="21"/>
    <w:p>
      <w:pPr>
        <w:spacing w:after="0"/>
        <w:ind w:left="0"/>
        <w:jc w:val="both"/>
      </w:pPr>
      <w:r>
        <w:rPr>
          <w:rFonts w:ascii="Times New Roman"/>
          <w:b w:val="false"/>
          <w:i w:val="false"/>
          <w:color w:val="000000"/>
          <w:sz w:val="28"/>
        </w:rPr>
        <w:t>
      2) второй раз - за шесть лет с разбивкой по годам;</w:t>
      </w:r>
    </w:p>
    <w:bookmarkEnd w:id="21"/>
    <w:bookmarkStart w:name="z296" w:id="22"/>
    <w:p>
      <w:pPr>
        <w:spacing w:after="0"/>
        <w:ind w:left="0"/>
        <w:jc w:val="both"/>
      </w:pPr>
      <w:r>
        <w:rPr>
          <w:rFonts w:ascii="Times New Roman"/>
          <w:b w:val="false"/>
          <w:i w:val="false"/>
          <w:color w:val="000000"/>
          <w:sz w:val="28"/>
        </w:rPr>
        <w:t>
      3) третий раз - за десять лет с разбивкой за последние четыре года и по итогам реализации плана развития за десять лет.</w:t>
      </w:r>
    </w:p>
    <w:bookmarkEnd w:id="22"/>
    <w:bookmarkStart w:name="z297" w:id="23"/>
    <w:p>
      <w:pPr>
        <w:spacing w:after="0"/>
        <w:ind w:left="0"/>
        <w:jc w:val="both"/>
      </w:pPr>
      <w:r>
        <w:rPr>
          <w:rFonts w:ascii="Times New Roman"/>
          <w:b w:val="false"/>
          <w:i w:val="false"/>
          <w:color w:val="000000"/>
          <w:sz w:val="28"/>
        </w:rPr>
        <w:t>
      4. Отчет по исполнению плана развития содержит следующие разделы:</w:t>
      </w:r>
    </w:p>
    <w:bookmarkEnd w:id="23"/>
    <w:bookmarkStart w:name="z298" w:id="24"/>
    <w:p>
      <w:pPr>
        <w:spacing w:after="0"/>
        <w:ind w:left="0"/>
        <w:jc w:val="both"/>
      </w:pPr>
      <w:r>
        <w:rPr>
          <w:rFonts w:ascii="Times New Roman"/>
          <w:b w:val="false"/>
          <w:i w:val="false"/>
          <w:color w:val="000000"/>
          <w:sz w:val="28"/>
        </w:rPr>
        <w:t>
      1) достижение стратегических направлений деятельности, целей, задач и ключевых показателей деятельности. Данный раздел содержит информацию о запланированных и фактически достигнутых ключевых показателях деятельности по стратегическим направлениям деятельности, целям, задачам, о причинах их недостижения, с предоставлением таблицы согласно приложению к настоящим Правилам;</w:t>
      </w:r>
    </w:p>
    <w:bookmarkEnd w:id="24"/>
    <w:bookmarkStart w:name="z299" w:id="25"/>
    <w:p>
      <w:pPr>
        <w:spacing w:after="0"/>
        <w:ind w:left="0"/>
        <w:jc w:val="both"/>
      </w:pPr>
      <w:r>
        <w:rPr>
          <w:rFonts w:ascii="Times New Roman"/>
          <w:b w:val="false"/>
          <w:i w:val="false"/>
          <w:color w:val="000000"/>
          <w:sz w:val="28"/>
        </w:rPr>
        <w:t>
      2) аналитическая записка, которая составляется в произвольной форме и содержит следующие сведения:</w:t>
      </w:r>
    </w:p>
    <w:bookmarkEnd w:id="25"/>
    <w:bookmarkStart w:name="z300" w:id="26"/>
    <w:p>
      <w:pPr>
        <w:spacing w:after="0"/>
        <w:ind w:left="0"/>
        <w:jc w:val="both"/>
      </w:pPr>
      <w:r>
        <w:rPr>
          <w:rFonts w:ascii="Times New Roman"/>
          <w:b w:val="false"/>
          <w:i w:val="false"/>
          <w:color w:val="000000"/>
          <w:sz w:val="28"/>
        </w:rPr>
        <w:t>
      информация о степени достижения запланированных ключевых показателей деятельности по стратегическим направлениям деятельности, целям и задачам (при наличии отклонений фактических результатов от запланированных следует раскрыть причины и факторы, которые оказали влияние на конечные результаты), оценка влияния факторов на реализацию плана развития, а также оценка влияния реализации плана развития на социально-экономическое развитие отрасли, региона;</w:t>
      </w:r>
    </w:p>
    <w:bookmarkEnd w:id="26"/>
    <w:bookmarkStart w:name="z301" w:id="27"/>
    <w:p>
      <w:pPr>
        <w:spacing w:after="0"/>
        <w:ind w:left="0"/>
        <w:jc w:val="both"/>
      </w:pPr>
      <w:r>
        <w:rPr>
          <w:rFonts w:ascii="Times New Roman"/>
          <w:b w:val="false"/>
          <w:i w:val="false"/>
          <w:color w:val="000000"/>
          <w:sz w:val="28"/>
        </w:rPr>
        <w:t>
      проблемы, которые возникли в процессе реализации плана развития, их воздействие на цели и ключевые показатели деятельности, а также принятые меры по обеспечению своевременной реализации плана развития;</w:t>
      </w:r>
    </w:p>
    <w:bookmarkEnd w:id="27"/>
    <w:bookmarkStart w:name="z302" w:id="28"/>
    <w:p>
      <w:pPr>
        <w:spacing w:after="0"/>
        <w:ind w:left="0"/>
        <w:jc w:val="both"/>
      </w:pPr>
      <w:r>
        <w:rPr>
          <w:rFonts w:ascii="Times New Roman"/>
          <w:b w:val="false"/>
          <w:i w:val="false"/>
          <w:color w:val="000000"/>
          <w:sz w:val="28"/>
        </w:rPr>
        <w:t>
      выводы об итогах реализации плана развития за отчетный период в разрезе стратегических направлений деятельности, целей и задач;</w:t>
      </w:r>
    </w:p>
    <w:bookmarkEnd w:id="28"/>
    <w:bookmarkStart w:name="z303" w:id="29"/>
    <w:p>
      <w:pPr>
        <w:spacing w:after="0"/>
        <w:ind w:left="0"/>
        <w:jc w:val="both"/>
      </w:pPr>
      <w:r>
        <w:rPr>
          <w:rFonts w:ascii="Times New Roman"/>
          <w:b w:val="false"/>
          <w:i w:val="false"/>
          <w:color w:val="000000"/>
          <w:sz w:val="28"/>
        </w:rPr>
        <w:t>
      предложения по дальнейшей реализации плана развития, ее корректировке, повышению эффективности процесса реализации плана развития, решению выявленных проблем по реализации плана развития.</w:t>
      </w:r>
    </w:p>
    <w:bookmarkEnd w:id="29"/>
    <w:bookmarkStart w:name="z304" w:id="30"/>
    <w:p>
      <w:pPr>
        <w:spacing w:after="0"/>
        <w:ind w:left="0"/>
        <w:jc w:val="both"/>
      </w:pPr>
      <w:r>
        <w:rPr>
          <w:rFonts w:ascii="Times New Roman"/>
          <w:b w:val="false"/>
          <w:i w:val="false"/>
          <w:color w:val="000000"/>
          <w:sz w:val="28"/>
        </w:rPr>
        <w:t>
      5. Разработка и утверждение Отчета по исполнению плана развития осуществляется после утверждения годовой аудированной финансовой отчетности в следующем порядке:</w:t>
      </w:r>
    </w:p>
    <w:bookmarkEnd w:id="30"/>
    <w:bookmarkStart w:name="z329" w:id="31"/>
    <w:p>
      <w:pPr>
        <w:spacing w:after="0"/>
        <w:ind w:left="0"/>
        <w:jc w:val="both"/>
      </w:pPr>
      <w:r>
        <w:rPr>
          <w:rFonts w:ascii="Times New Roman"/>
          <w:b w:val="false"/>
          <w:i w:val="false"/>
          <w:color w:val="000000"/>
          <w:sz w:val="28"/>
        </w:rPr>
        <w:t>
      1) в течение пятнадцати рабочих дней со дня утверждения годовой аудированной финансовой отчетности исполнительный орган осуществляет разработку проекта Отчета по исполнению плана развития на веб-портале Реестра, разработанного Единым оператором, и вносит его на рассмотрение совета директоров компании.</w:t>
      </w:r>
    </w:p>
    <w:bookmarkEnd w:id="31"/>
    <w:bookmarkStart w:name="z330" w:id="32"/>
    <w:p>
      <w:pPr>
        <w:spacing w:after="0"/>
        <w:ind w:left="0"/>
        <w:jc w:val="both"/>
      </w:pPr>
      <w:r>
        <w:rPr>
          <w:rFonts w:ascii="Times New Roman"/>
          <w:b w:val="false"/>
          <w:i w:val="false"/>
          <w:color w:val="000000"/>
          <w:sz w:val="28"/>
        </w:rPr>
        <w:t>
      Совет директоров компании в течение пятнадцати рабочих дней рассматривает и принимает решение об утверждении проекта Отчета по исполнению плана развития либо о возврате исполнительному органу для доработки.</w:t>
      </w:r>
    </w:p>
    <w:bookmarkEnd w:id="32"/>
    <w:bookmarkStart w:name="z331" w:id="33"/>
    <w:p>
      <w:pPr>
        <w:spacing w:after="0"/>
        <w:ind w:left="0"/>
        <w:jc w:val="both"/>
      </w:pPr>
      <w:r>
        <w:rPr>
          <w:rFonts w:ascii="Times New Roman"/>
          <w:b w:val="false"/>
          <w:i w:val="false"/>
          <w:color w:val="000000"/>
          <w:sz w:val="28"/>
        </w:rPr>
        <w:t>
      При наличии замечаний исполнительный орган дорабатывает проект Отчета по исполнению плана развития в сроки, определенные советом директоров компании, но не более десяти рабочих дней со дня получения замечаний, и повторно представляет его на рассмотрение совета директоров компании;</w:t>
      </w:r>
    </w:p>
    <w:bookmarkEnd w:id="33"/>
    <w:bookmarkStart w:name="z332" w:id="34"/>
    <w:p>
      <w:pPr>
        <w:spacing w:after="0"/>
        <w:ind w:left="0"/>
        <w:jc w:val="both"/>
      </w:pPr>
      <w:r>
        <w:rPr>
          <w:rFonts w:ascii="Times New Roman"/>
          <w:b w:val="false"/>
          <w:i w:val="false"/>
          <w:color w:val="000000"/>
          <w:sz w:val="28"/>
        </w:rPr>
        <w:t>
      2) проект Отчета по исполнению плана развития утверждается на заседании совета директоров компании.</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35"/>
    <w:p>
      <w:pPr>
        <w:spacing w:after="0"/>
        <w:ind w:left="0"/>
        <w:jc w:val="both"/>
      </w:pPr>
      <w:r>
        <w:rPr>
          <w:rFonts w:ascii="Times New Roman"/>
          <w:b w:val="false"/>
          <w:i w:val="false"/>
          <w:color w:val="000000"/>
          <w:sz w:val="28"/>
        </w:rPr>
        <w:t>
      6. Исполнительный орган в течение пяти рабочих дней с даты получения выписки из протокола заседания совета директоров компании по вопросу утверждения Отчета по исполнению плана развития направляет электронный отчет Единому оператору для включения в Реестр государственного имущества (далее – Реестр), прикрепив к электронному отчету сканированную копию решения совета директоров компании об его утверждении, а также направляет данный отчет в бумажном виде уполномоченному органу соответствующей отрасли для проведения мониторинга реализации плана развития.</w:t>
      </w:r>
    </w:p>
    <w:bookmarkEnd w:id="35"/>
    <w:bookmarkStart w:name="z310" w:id="36"/>
    <w:p>
      <w:pPr>
        <w:spacing w:after="0"/>
        <w:ind w:left="0"/>
        <w:jc w:val="both"/>
      </w:pPr>
      <w:r>
        <w:rPr>
          <w:rFonts w:ascii="Times New Roman"/>
          <w:b w:val="false"/>
          <w:i w:val="false"/>
          <w:color w:val="000000"/>
          <w:sz w:val="28"/>
        </w:rPr>
        <w:t>
      7. Включение электронного отчета в Реестр Единым оператором осуществляется в течение пяти рабочих дней с даты его поступления с направлением на электронный адрес компании уведомления о включении электронного отчета в Реестр.</w:t>
      </w:r>
    </w:p>
    <w:bookmarkEnd w:id="36"/>
    <w:bookmarkStart w:name="z311" w:id="37"/>
    <w:p>
      <w:pPr>
        <w:spacing w:after="0"/>
        <w:ind w:left="0"/>
        <w:jc w:val="both"/>
      </w:pPr>
      <w:r>
        <w:rPr>
          <w:rFonts w:ascii="Times New Roman"/>
          <w:b w:val="false"/>
          <w:i w:val="false"/>
          <w:color w:val="000000"/>
          <w:sz w:val="28"/>
        </w:rPr>
        <w:t>
      При наличии замечаний Единого оператора к электронному отчету компания устраняет замечания и вносит его повторно Единому оператору в течение пяти рабочих дней со дня получения замечаний без повторного вынесения на рассмотрение совета директоров компании.</w:t>
      </w:r>
    </w:p>
    <w:bookmarkEnd w:id="37"/>
    <w:bookmarkStart w:name="z312" w:id="38"/>
    <w:p>
      <w:pPr>
        <w:spacing w:after="0"/>
        <w:ind w:left="0"/>
        <w:jc w:val="both"/>
      </w:pPr>
      <w:r>
        <w:rPr>
          <w:rFonts w:ascii="Times New Roman"/>
          <w:b w:val="false"/>
          <w:i w:val="false"/>
          <w:color w:val="000000"/>
          <w:sz w:val="28"/>
        </w:rPr>
        <w:t>
      8. В случае отсутствия утвержденной годовой аудированной финансовой отчетности до тридцатого числа четвертого месяца, следующего за отчетным периодом, исполнительный орган осуществляет разработку проекта Отчета по исполнению плана развития (по оперативным данным) на веб-портале Реестра, разработанного Единым оператором, и направляет электронный отчет (по оперативным данным) Единому оператору не позднее первого числа шестого месяца, следующего за отчетным периодом, для включения в Реестр.</w:t>
      </w:r>
    </w:p>
    <w:bookmarkEnd w:id="38"/>
    <w:p>
      <w:pPr>
        <w:spacing w:after="0"/>
        <w:ind w:left="0"/>
        <w:jc w:val="both"/>
      </w:pPr>
      <w:r>
        <w:rPr>
          <w:rFonts w:ascii="Times New Roman"/>
          <w:b w:val="false"/>
          <w:i w:val="false"/>
          <w:color w:val="000000"/>
          <w:sz w:val="28"/>
        </w:rPr>
        <w:t>
      Электронный отчет (по оперативным данным) представляется для включения в Реестр согласно пункту 7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разработки и</w:t>
            </w:r>
            <w:r>
              <w:br/>
            </w:r>
            <w:r>
              <w:rPr>
                <w:rFonts w:ascii="Times New Roman"/>
                <w:b w:val="false"/>
                <w:i w:val="false"/>
                <w:color w:val="000000"/>
                <w:sz w:val="20"/>
              </w:rPr>
              <w:t>представления отчетов по</w:t>
            </w:r>
            <w:r>
              <w:br/>
            </w:r>
            <w:r>
              <w:rPr>
                <w:rFonts w:ascii="Times New Roman"/>
                <w:b w:val="false"/>
                <w:i w:val="false"/>
                <w:color w:val="000000"/>
                <w:sz w:val="20"/>
              </w:rPr>
              <w:t>исполнению планов развития</w:t>
            </w:r>
            <w:r>
              <w:br/>
            </w:r>
            <w:r>
              <w:rPr>
                <w:rFonts w:ascii="Times New Roman"/>
                <w:b w:val="false"/>
                <w:i w:val="false"/>
                <w:color w:val="000000"/>
                <w:sz w:val="20"/>
              </w:rPr>
              <w:t xml:space="preserve">национальных управляющих </w:t>
            </w:r>
            <w:r>
              <w:br/>
            </w:r>
            <w:r>
              <w:rPr>
                <w:rFonts w:ascii="Times New Roman"/>
                <w:b w:val="false"/>
                <w:i w:val="false"/>
                <w:color w:val="000000"/>
                <w:sz w:val="20"/>
              </w:rPr>
              <w:t>холдингов,</w:t>
            </w:r>
            <w:r>
              <w:br/>
            </w:r>
            <w:r>
              <w:rPr>
                <w:rFonts w:ascii="Times New Roman"/>
                <w:b w:val="false"/>
                <w:i w:val="false"/>
                <w:color w:val="000000"/>
                <w:sz w:val="20"/>
              </w:rPr>
              <w:t>национальных холдингов,</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w:t>
            </w:r>
            <w:r>
              <w:br/>
            </w:r>
            <w:r>
              <w:rPr>
                <w:rFonts w:ascii="Times New Roman"/>
                <w:b w:val="false"/>
                <w:i w:val="false"/>
                <w:color w:val="000000"/>
                <w:sz w:val="20"/>
              </w:rPr>
              <w:t>является государство</w:t>
            </w:r>
          </w:p>
        </w:tc>
      </w:tr>
    </w:tbl>
    <w:bookmarkStart w:name="z315" w:id="39"/>
    <w:p>
      <w:pPr>
        <w:spacing w:after="0"/>
        <w:ind w:left="0"/>
        <w:jc w:val="left"/>
      </w:pPr>
      <w:r>
        <w:rPr>
          <w:rFonts w:ascii="Times New Roman"/>
          <w:b/>
          <w:i w:val="false"/>
          <w:color w:val="000000"/>
        </w:rPr>
        <w:t xml:space="preserve"> Достижение стратегических направлений деятельности, целей, задач и ключевых показателей деятельности</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стратегического направления (далее – СНД)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ключевого показателя деятельности (далее - КПД)*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КПД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невыполнения (выполнения в неполном объеме)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20_n_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 w:id="40"/>
    <w:p>
      <w:pPr>
        <w:spacing w:after="0"/>
        <w:ind w:left="0"/>
        <w:jc w:val="both"/>
      </w:pPr>
      <w:r>
        <w:rPr>
          <w:rFonts w:ascii="Times New Roman"/>
          <w:b w:val="false"/>
          <w:i w:val="false"/>
          <w:color w:val="000000"/>
          <w:sz w:val="28"/>
        </w:rPr>
        <w:t>
      Примечание</w:t>
      </w:r>
    </w:p>
    <w:bookmarkEnd w:id="40"/>
    <w:bookmarkStart w:name="z321" w:id="41"/>
    <w:p>
      <w:pPr>
        <w:spacing w:after="0"/>
        <w:ind w:left="0"/>
        <w:jc w:val="both"/>
      </w:pPr>
      <w:r>
        <w:rPr>
          <w:rFonts w:ascii="Times New Roman"/>
          <w:b w:val="false"/>
          <w:i w:val="false"/>
          <w:color w:val="000000"/>
          <w:sz w:val="28"/>
        </w:rPr>
        <w:t>
      * ключевой показатель деятельности привязывается к цели и задачам компании</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2015 года № 139</w:t>
            </w:r>
          </w:p>
        </w:tc>
      </w:tr>
    </w:tbl>
    <w:bookmarkStart w:name="z4" w:id="42"/>
    <w:p>
      <w:pPr>
        <w:spacing w:after="0"/>
        <w:ind w:left="0"/>
        <w:jc w:val="left"/>
      </w:pPr>
      <w:r>
        <w:rPr>
          <w:rFonts w:ascii="Times New Roman"/>
          <w:b/>
          <w:i w:val="false"/>
          <w:color w:val="000000"/>
        </w:rPr>
        <w:t xml:space="preserve"> Правила разработки и представления отчетов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42"/>
    <w:p>
      <w:pPr>
        <w:spacing w:after="0"/>
        <w:ind w:left="0"/>
        <w:jc w:val="both"/>
      </w:pPr>
      <w:r>
        <w:rPr>
          <w:rFonts w:ascii="Times New Roman"/>
          <w:b w:val="false"/>
          <w:i w:val="false"/>
          <w:color w:val="ff0000"/>
          <w:sz w:val="28"/>
        </w:rPr>
        <w:t xml:space="preserve">
      Сноска. Правила – в редакции приказа Министра национальной экономики РК от 30.03.2022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43"/>
    <w:p>
      <w:pPr>
        <w:spacing w:after="0"/>
        <w:ind w:left="0"/>
        <w:jc w:val="left"/>
      </w:pPr>
      <w:r>
        <w:rPr>
          <w:rFonts w:ascii="Times New Roman"/>
          <w:b/>
          <w:i w:val="false"/>
          <w:color w:val="000000"/>
        </w:rPr>
        <w:t xml:space="preserve"> Глава 1. Общие положения</w:t>
      </w:r>
    </w:p>
    <w:bookmarkEnd w:id="43"/>
    <w:bookmarkStart w:name="z131" w:id="44"/>
    <w:p>
      <w:pPr>
        <w:spacing w:after="0"/>
        <w:ind w:left="0"/>
        <w:jc w:val="both"/>
      </w:pPr>
      <w:r>
        <w:rPr>
          <w:rFonts w:ascii="Times New Roman"/>
          <w:b w:val="false"/>
          <w:i w:val="false"/>
          <w:color w:val="000000"/>
          <w:sz w:val="28"/>
        </w:rPr>
        <w:t xml:space="preserve">
      1. Настоящие Правила разработки и представления отчетов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 (далее – Правила) разработаны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статьи 13 Закона Республики Казахстан "О государственном имуществе" (далее – Закон) и определяют порядок разработки и представления отчетов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 (далее – Отчет по исполнению плана мероприятий).</w:t>
      </w:r>
    </w:p>
    <w:bookmarkEnd w:id="44"/>
    <w:bookmarkStart w:name="z132" w:id="4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45"/>
    <w:bookmarkStart w:name="z334" w:id="46"/>
    <w:p>
      <w:pPr>
        <w:spacing w:after="0"/>
        <w:ind w:left="0"/>
        <w:jc w:val="both"/>
      </w:pPr>
      <w:r>
        <w:rPr>
          <w:rFonts w:ascii="Times New Roman"/>
          <w:b w:val="false"/>
          <w:i w:val="false"/>
          <w:color w:val="000000"/>
          <w:sz w:val="28"/>
        </w:rPr>
        <w:t>
      1) компания – национальные управляющие холдинги, национальные холдинги, национальные компании, акционером которых является государство;</w:t>
      </w:r>
    </w:p>
    <w:bookmarkEnd w:id="46"/>
    <w:bookmarkStart w:name="z335" w:id="47"/>
    <w:p>
      <w:pPr>
        <w:spacing w:after="0"/>
        <w:ind w:left="0"/>
        <w:jc w:val="both"/>
      </w:pPr>
      <w:r>
        <w:rPr>
          <w:rFonts w:ascii="Times New Roman"/>
          <w:b w:val="false"/>
          <w:i w:val="false"/>
          <w:color w:val="000000"/>
          <w:sz w:val="28"/>
        </w:rPr>
        <w:t xml:space="preserve">
      2)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1 Закона;</w:t>
      </w:r>
    </w:p>
    <w:bookmarkEnd w:id="47"/>
    <w:bookmarkStart w:name="z336" w:id="48"/>
    <w:p>
      <w:pPr>
        <w:spacing w:after="0"/>
        <w:ind w:left="0"/>
        <w:jc w:val="both"/>
      </w:pPr>
      <w:r>
        <w:rPr>
          <w:rFonts w:ascii="Times New Roman"/>
          <w:b w:val="false"/>
          <w:i w:val="false"/>
          <w:color w:val="000000"/>
          <w:sz w:val="28"/>
        </w:rPr>
        <w:t>
      3) электронный отчет – отчет по исполнению плана мероприятий, подготовленный на веб-портале Реестра и подписываемый электронной цифровой подписью компании, выданной национальным удостоверяющим центром.</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49"/>
    <w:p>
      <w:pPr>
        <w:spacing w:after="0"/>
        <w:ind w:left="0"/>
        <w:jc w:val="left"/>
      </w:pPr>
      <w:r>
        <w:rPr>
          <w:rFonts w:ascii="Times New Roman"/>
          <w:b/>
          <w:i w:val="false"/>
          <w:color w:val="000000"/>
        </w:rPr>
        <w:t xml:space="preserve"> Глава 2. Порядок разработки и представления отчета по исполнению плана мероприятий</w:t>
      </w:r>
    </w:p>
    <w:bookmarkEnd w:id="49"/>
    <w:bookmarkStart w:name="z137" w:id="50"/>
    <w:p>
      <w:pPr>
        <w:spacing w:after="0"/>
        <w:ind w:left="0"/>
        <w:jc w:val="both"/>
      </w:pPr>
      <w:r>
        <w:rPr>
          <w:rFonts w:ascii="Times New Roman"/>
          <w:b w:val="false"/>
          <w:i w:val="false"/>
          <w:color w:val="000000"/>
          <w:sz w:val="28"/>
        </w:rPr>
        <w:t>
      3. Отчет по исполнению плана мероприятий разрабатывается и представляется по итогам каждого года.</w:t>
      </w:r>
    </w:p>
    <w:bookmarkEnd w:id="50"/>
    <w:bookmarkStart w:name="z138" w:id="51"/>
    <w:p>
      <w:pPr>
        <w:spacing w:after="0"/>
        <w:ind w:left="0"/>
        <w:jc w:val="both"/>
      </w:pPr>
      <w:r>
        <w:rPr>
          <w:rFonts w:ascii="Times New Roman"/>
          <w:b w:val="false"/>
          <w:i w:val="false"/>
          <w:color w:val="000000"/>
          <w:sz w:val="28"/>
        </w:rPr>
        <w:t>
      4. Разработка проекта Отчета по исполнению плана мероприятий, за исключением акционерного общества "Фонд национального благосостояния "Самрук-Қазына" (далее – Фонд), осуществляется в соответствии со структурой разделов отчета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 согласно приложению 1 к настоящим Правилам, а также в соответствии с формами и перечнем показателей отчета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 согласно приложению 2 к настоящим Правилам.</w:t>
      </w:r>
    </w:p>
    <w:bookmarkEnd w:id="51"/>
    <w:bookmarkStart w:name="z139" w:id="52"/>
    <w:p>
      <w:pPr>
        <w:spacing w:after="0"/>
        <w:ind w:left="0"/>
        <w:jc w:val="both"/>
      </w:pPr>
      <w:r>
        <w:rPr>
          <w:rFonts w:ascii="Times New Roman"/>
          <w:b w:val="false"/>
          <w:i w:val="false"/>
          <w:color w:val="000000"/>
          <w:sz w:val="28"/>
        </w:rPr>
        <w:t>
      Формы и перечень показателей отчета по исполнению планов мероприятий относительно юридических лиц, акции (доли участия) которых предоставляют право компании определять решения, носят исключительно информативный характер и не являются предметом утверждения советом директоров компании.</w:t>
      </w:r>
    </w:p>
    <w:bookmarkEnd w:id="52"/>
    <w:bookmarkStart w:name="z140" w:id="53"/>
    <w:p>
      <w:pPr>
        <w:spacing w:after="0"/>
        <w:ind w:left="0"/>
        <w:jc w:val="both"/>
      </w:pPr>
      <w:r>
        <w:rPr>
          <w:rFonts w:ascii="Times New Roman"/>
          <w:b w:val="false"/>
          <w:i w:val="false"/>
          <w:color w:val="000000"/>
          <w:sz w:val="28"/>
        </w:rPr>
        <w:t>
      Пояснительная записка к отчету плана мероприятий содержит разъяснения по каждому разделу отчета плана мероприятий и является его неотъемлемой частью.</w:t>
      </w:r>
    </w:p>
    <w:bookmarkEnd w:id="53"/>
    <w:bookmarkStart w:name="z141" w:id="54"/>
    <w:p>
      <w:pPr>
        <w:spacing w:after="0"/>
        <w:ind w:left="0"/>
        <w:jc w:val="both"/>
      </w:pPr>
      <w:r>
        <w:rPr>
          <w:rFonts w:ascii="Times New Roman"/>
          <w:b w:val="false"/>
          <w:i w:val="false"/>
          <w:color w:val="000000"/>
          <w:sz w:val="28"/>
        </w:rPr>
        <w:t>
      Разработка проекта Отчета по исполнению плана мероприятий Фонда осуществляется в рамках Правил разработки, утверждения, мониторинга, оценки реализации, представления отчетов по исполнению плана мероприятий Фонда, утверждаемых решением Совета директоров Фонда.</w:t>
      </w:r>
    </w:p>
    <w:bookmarkEnd w:id="54"/>
    <w:bookmarkStart w:name="z142" w:id="55"/>
    <w:p>
      <w:pPr>
        <w:spacing w:after="0"/>
        <w:ind w:left="0"/>
        <w:jc w:val="both"/>
      </w:pPr>
      <w:r>
        <w:rPr>
          <w:rFonts w:ascii="Times New Roman"/>
          <w:b w:val="false"/>
          <w:i w:val="false"/>
          <w:color w:val="000000"/>
          <w:sz w:val="28"/>
        </w:rPr>
        <w:t>
      5. Разработка и утверждение отчета по исполнению плана мероприятий осуществляется после утверждения годовой аудированной финансовой отчетности в следующем порядке:</w:t>
      </w:r>
    </w:p>
    <w:bookmarkEnd w:id="55"/>
    <w:bookmarkStart w:name="z338" w:id="56"/>
    <w:p>
      <w:pPr>
        <w:spacing w:after="0"/>
        <w:ind w:left="0"/>
        <w:jc w:val="both"/>
      </w:pPr>
      <w:r>
        <w:rPr>
          <w:rFonts w:ascii="Times New Roman"/>
          <w:b w:val="false"/>
          <w:i w:val="false"/>
          <w:color w:val="000000"/>
          <w:sz w:val="28"/>
        </w:rPr>
        <w:t>
      1) в течение пятнадцати рабочих дней со дня утверждения годовой аудированной финансовой отчетности исполнительный орган осуществляет разработку проекта Отчета по исполнению плана мероприятий на веб-портале Реестра, разработанного Единым оператором, и вносит его на рассмотрение совета директоров компании.</w:t>
      </w:r>
    </w:p>
    <w:bookmarkEnd w:id="56"/>
    <w:bookmarkStart w:name="z339" w:id="57"/>
    <w:p>
      <w:pPr>
        <w:spacing w:after="0"/>
        <w:ind w:left="0"/>
        <w:jc w:val="both"/>
      </w:pPr>
      <w:r>
        <w:rPr>
          <w:rFonts w:ascii="Times New Roman"/>
          <w:b w:val="false"/>
          <w:i w:val="false"/>
          <w:color w:val="000000"/>
          <w:sz w:val="28"/>
        </w:rPr>
        <w:t>
      Совет директоров компании в течение пятнадцати рабочих дней рассматривает и принимает решение об утверждении проекта Отчета по исполнению плана мероприятий либо о возврате исполнительному органу для доработки.</w:t>
      </w:r>
    </w:p>
    <w:bookmarkEnd w:id="57"/>
    <w:bookmarkStart w:name="z340" w:id="58"/>
    <w:p>
      <w:pPr>
        <w:spacing w:after="0"/>
        <w:ind w:left="0"/>
        <w:jc w:val="both"/>
      </w:pPr>
      <w:r>
        <w:rPr>
          <w:rFonts w:ascii="Times New Roman"/>
          <w:b w:val="false"/>
          <w:i w:val="false"/>
          <w:color w:val="000000"/>
          <w:sz w:val="28"/>
        </w:rPr>
        <w:t>
      При наличии замечаний исполнительный орган дорабатывает проект Отчета по исполнению плана мероприятий в сроки, определенные советом директоров компании, но не более десяти рабочих дней со дня получения замечаний, и повторно представляет его на рассмотрение совета директоров компании;</w:t>
      </w:r>
    </w:p>
    <w:bookmarkEnd w:id="58"/>
    <w:bookmarkStart w:name="z341" w:id="59"/>
    <w:p>
      <w:pPr>
        <w:spacing w:after="0"/>
        <w:ind w:left="0"/>
        <w:jc w:val="both"/>
      </w:pPr>
      <w:r>
        <w:rPr>
          <w:rFonts w:ascii="Times New Roman"/>
          <w:b w:val="false"/>
          <w:i w:val="false"/>
          <w:color w:val="000000"/>
          <w:sz w:val="28"/>
        </w:rPr>
        <w:t>
      2) проект Отчета по исполнению плана мероприятий утверждается на заседании совета директоров компании.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60"/>
    <w:p>
      <w:pPr>
        <w:spacing w:after="0"/>
        <w:ind w:left="0"/>
        <w:jc w:val="both"/>
      </w:pPr>
      <w:r>
        <w:rPr>
          <w:rFonts w:ascii="Times New Roman"/>
          <w:b w:val="false"/>
          <w:i w:val="false"/>
          <w:color w:val="000000"/>
          <w:sz w:val="28"/>
        </w:rPr>
        <w:t>
      6. Исполнительный орган в течение пяти рабочих дней с даты получения выписки из протокола заседания совета директоров компании по вопросу утверждения отчета по исполнению плана мероприятий направляет электронный отчет Единому оператору для включения в Реестр государственного имущества (далее – Реестр), прикрепив к электронному отчету сканированную копию решения совета директоров компании об его утверждении, а также направляет данный отчет в бумажном виде уполномоченному органу соответствующей отрасли для проведения мониторинга реализации плана мероприятий.</w:t>
      </w:r>
    </w:p>
    <w:bookmarkEnd w:id="60"/>
    <w:bookmarkStart w:name="z148" w:id="61"/>
    <w:p>
      <w:pPr>
        <w:spacing w:after="0"/>
        <w:ind w:left="0"/>
        <w:jc w:val="both"/>
      </w:pPr>
      <w:r>
        <w:rPr>
          <w:rFonts w:ascii="Times New Roman"/>
          <w:b w:val="false"/>
          <w:i w:val="false"/>
          <w:color w:val="000000"/>
          <w:sz w:val="28"/>
        </w:rPr>
        <w:t>
      7. Включение электронного отчета в Реестр Единым оператором осуществляется в течение пяти рабочих дней с даты его поступления с направлением на электронный адрес компании уведомления о включении электронного отчета в Реестр.</w:t>
      </w:r>
    </w:p>
    <w:bookmarkEnd w:id="61"/>
    <w:bookmarkStart w:name="z149" w:id="62"/>
    <w:p>
      <w:pPr>
        <w:spacing w:after="0"/>
        <w:ind w:left="0"/>
        <w:jc w:val="both"/>
      </w:pPr>
      <w:r>
        <w:rPr>
          <w:rFonts w:ascii="Times New Roman"/>
          <w:b w:val="false"/>
          <w:i w:val="false"/>
          <w:color w:val="000000"/>
          <w:sz w:val="28"/>
        </w:rPr>
        <w:t>
      При наличии замечаний Единого оператора к электронному отчету компания устраняет замечания и вносит его повторно Единому оператору в течение пяти рабочих дней со дня получения замечаний без повторного вынесения на рассмотрение совета директоров компании.</w:t>
      </w:r>
    </w:p>
    <w:bookmarkEnd w:id="62"/>
    <w:bookmarkStart w:name="z150" w:id="63"/>
    <w:p>
      <w:pPr>
        <w:spacing w:after="0"/>
        <w:ind w:left="0"/>
        <w:jc w:val="both"/>
      </w:pPr>
      <w:r>
        <w:rPr>
          <w:rFonts w:ascii="Times New Roman"/>
          <w:b w:val="false"/>
          <w:i w:val="false"/>
          <w:color w:val="000000"/>
          <w:sz w:val="28"/>
        </w:rPr>
        <w:t>
      8. В случае отсутствия утвержденной годовой аудированной финансовой отчетности до тридцатого числа третьего месяца, следующего за отчетным периодом, исполнительный орган осуществляет разработку проекта Отчета по исполнению плана мероприятий (по оперативным данным) на веб-портале Реестра, разработанного Единым оператором, и направляет электронный отчет (по оперативным данным) Единому оператору не позднее первого числа пятого месяца, следующего за отчетным периодом, для включения в Реестр.</w:t>
      </w:r>
    </w:p>
    <w:bookmarkEnd w:id="63"/>
    <w:bookmarkStart w:name="z343" w:id="64"/>
    <w:p>
      <w:pPr>
        <w:spacing w:after="0"/>
        <w:ind w:left="0"/>
        <w:jc w:val="both"/>
      </w:pPr>
      <w:r>
        <w:rPr>
          <w:rFonts w:ascii="Times New Roman"/>
          <w:b w:val="false"/>
          <w:i w:val="false"/>
          <w:color w:val="000000"/>
          <w:sz w:val="28"/>
        </w:rPr>
        <w:t>
      Разработка и утверждение Отчета по исполнению плана мероприятий (по оперативным данным) осуществляется в следующем порядке:</w:t>
      </w:r>
    </w:p>
    <w:bookmarkEnd w:id="64"/>
    <w:bookmarkStart w:name="z344" w:id="65"/>
    <w:p>
      <w:pPr>
        <w:spacing w:after="0"/>
        <w:ind w:left="0"/>
        <w:jc w:val="both"/>
      </w:pPr>
      <w:r>
        <w:rPr>
          <w:rFonts w:ascii="Times New Roman"/>
          <w:b w:val="false"/>
          <w:i w:val="false"/>
          <w:color w:val="000000"/>
          <w:sz w:val="28"/>
        </w:rPr>
        <w:t>
      1) не позднее десятого числа четвертого месяца, следующего за отчетным периодом, структурное подразделение компании, ответственное за разработку Отчета по исполнению плана мероприятий, осуществляет разработку проекта Отчета по исполнению плана мероприятий (по оперативным данным) и вносит его на рассмотрение исполнительного органа компании.</w:t>
      </w:r>
    </w:p>
    <w:bookmarkEnd w:id="65"/>
    <w:bookmarkStart w:name="z345" w:id="66"/>
    <w:p>
      <w:pPr>
        <w:spacing w:after="0"/>
        <w:ind w:left="0"/>
        <w:jc w:val="both"/>
      </w:pPr>
      <w:r>
        <w:rPr>
          <w:rFonts w:ascii="Times New Roman"/>
          <w:b w:val="false"/>
          <w:i w:val="false"/>
          <w:color w:val="000000"/>
          <w:sz w:val="28"/>
        </w:rPr>
        <w:t>
      Исполнительный орган компании в течение семи календарных дней рассматривает и принимает решение об утверждении проекта Отчета по исполнению плана мероприятий (по оперативным данным) либо о его возврате для доработки.</w:t>
      </w:r>
    </w:p>
    <w:bookmarkEnd w:id="66"/>
    <w:bookmarkStart w:name="z346" w:id="67"/>
    <w:p>
      <w:pPr>
        <w:spacing w:after="0"/>
        <w:ind w:left="0"/>
        <w:jc w:val="both"/>
      </w:pPr>
      <w:r>
        <w:rPr>
          <w:rFonts w:ascii="Times New Roman"/>
          <w:b w:val="false"/>
          <w:i w:val="false"/>
          <w:color w:val="000000"/>
          <w:sz w:val="28"/>
        </w:rPr>
        <w:t>
      При наличии замечаний ответственное структурное подразделение компании дорабатывает проект Отчета по исполнению плана мероприятий (по оперативным данным) в сроки, определенные исполнительным органом компании, но не более пяти календарных дней с момента получения замечаний, и повторно представляет его на рассмотрение исполнительного органа компании;</w:t>
      </w:r>
    </w:p>
    <w:bookmarkEnd w:id="67"/>
    <w:bookmarkStart w:name="z347" w:id="68"/>
    <w:p>
      <w:pPr>
        <w:spacing w:after="0"/>
        <w:ind w:left="0"/>
        <w:jc w:val="both"/>
      </w:pPr>
      <w:r>
        <w:rPr>
          <w:rFonts w:ascii="Times New Roman"/>
          <w:b w:val="false"/>
          <w:i w:val="false"/>
          <w:color w:val="000000"/>
          <w:sz w:val="28"/>
        </w:rPr>
        <w:t>
      2) проект Отчета по исполнению плана мероприятий (по оперативным данным) утверждается исполнительным органом компании.</w:t>
      </w:r>
    </w:p>
    <w:bookmarkEnd w:id="68"/>
    <w:bookmarkStart w:name="z348" w:id="69"/>
    <w:p>
      <w:pPr>
        <w:spacing w:after="0"/>
        <w:ind w:left="0"/>
        <w:jc w:val="both"/>
      </w:pPr>
      <w:r>
        <w:rPr>
          <w:rFonts w:ascii="Times New Roman"/>
          <w:b w:val="false"/>
          <w:i w:val="false"/>
          <w:color w:val="000000"/>
          <w:sz w:val="28"/>
        </w:rPr>
        <w:t>
      По итогам утверждения Отчета по исполнению плана мероприятий (по оперативным данным) в течение трех рабочих дней направляется электронный отчет Единому оператору для включения в Реестр, прикрепив к электронному отчету сканированную копию решения исполнительного органа компании об его утверждении.</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70"/>
    <w:p>
      <w:pPr>
        <w:spacing w:after="0"/>
        <w:ind w:left="0"/>
        <w:jc w:val="both"/>
      </w:pPr>
      <w:r>
        <w:rPr>
          <w:rFonts w:ascii="Times New Roman"/>
          <w:b w:val="false"/>
          <w:i w:val="false"/>
          <w:color w:val="000000"/>
          <w:sz w:val="28"/>
        </w:rPr>
        <w:t xml:space="preserve">
      9. Исполнительный орган несет дисциплинарную ответственность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Трудового кодекса Республики Казахстан за своевременность и достоверность оперативных данных, представленных в Отчете по исполнению плана мероприятий и Отчете по исполнению плана мероприятий (по оперативным данным).</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 и</w:t>
            </w:r>
            <w:r>
              <w:br/>
            </w:r>
            <w:r>
              <w:rPr>
                <w:rFonts w:ascii="Times New Roman"/>
                <w:b w:val="false"/>
                <w:i w:val="false"/>
                <w:color w:val="000000"/>
                <w:sz w:val="20"/>
              </w:rPr>
              <w:t>представления отчетов по</w:t>
            </w:r>
            <w:r>
              <w:br/>
            </w:r>
            <w:r>
              <w:rPr>
                <w:rFonts w:ascii="Times New Roman"/>
                <w:b w:val="false"/>
                <w:i w:val="false"/>
                <w:color w:val="000000"/>
                <w:sz w:val="20"/>
              </w:rPr>
              <w:t xml:space="preserve">исполнению планов </w:t>
            </w:r>
            <w:r>
              <w:br/>
            </w:r>
            <w:r>
              <w:rPr>
                <w:rFonts w:ascii="Times New Roman"/>
                <w:b w:val="false"/>
                <w:i w:val="false"/>
                <w:color w:val="000000"/>
                <w:sz w:val="20"/>
              </w:rPr>
              <w:t>мероприятий</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p>
        </w:tc>
      </w:tr>
    </w:tbl>
    <w:bookmarkStart w:name="z159" w:id="71"/>
    <w:p>
      <w:pPr>
        <w:spacing w:after="0"/>
        <w:ind w:left="0"/>
        <w:jc w:val="left"/>
      </w:pPr>
      <w:r>
        <w:rPr>
          <w:rFonts w:ascii="Times New Roman"/>
          <w:b/>
          <w:i w:val="false"/>
          <w:color w:val="000000"/>
        </w:rPr>
        <w:t xml:space="preserve"> Структура разделов отчета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создании Компании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Компании (с указанием численности работников), схема и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реализации Плана мероприятий за отчетный период, с учетом стратегических направлений деятельности, указанных в Плане развития Компании, в том числе 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достижению ключевых показателей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реструктуризации активов и их обоснование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Отношения с бюджетом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бюджетным законодательством Республики Казахстан поступления из республиканского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мероприятий Компании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на государственный пакет акций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 капитальные вложения, в том числе инвестиционные проекты (капитальные вложения в новые проекты, капитальные вложения в существующие проекты); строительство и модернизация объектов; приобретение основных средств; приобретение нематериальных активов и прочие вложения; инвестиции, в том числе приобретение пакетов акций (долей участия); вклады в уставной капитал и прочие инвестиции: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заимствований и график погашения в разрезе внутреннего и внешнего заимствования (в том числе дочерних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долга/EBITDA (Earnings before interest, taxes, depreciation and amortization): для компаний реального сектора экономики, коэффициент финансового левереджа, коэффициент покрытия процентов, коэффициент текущей ликвидности)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долговая нагрузка Компании и ее дочерних организаций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финансово-хозяйственной деятельности, анализ с обоснованием причин роста или снижения, включая: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временно свободными денежными средствами, политика их размещения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дивидендной политики и их обоснование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кадровой политики Компании и/или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административные расходы за отчетный период с учетом дочерних организаций, прогноз с обоснованием роста или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за отчетный период, с обоснованием роста или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нежилых помещений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tc>
      </w:tr>
    </w:tbl>
    <w:bookmarkStart w:name="z160" w:id="72"/>
    <w:p>
      <w:pPr>
        <w:spacing w:after="0"/>
        <w:ind w:left="0"/>
        <w:jc w:val="both"/>
      </w:pPr>
      <w:r>
        <w:rPr>
          <w:rFonts w:ascii="Times New Roman"/>
          <w:b w:val="false"/>
          <w:i w:val="false"/>
          <w:color w:val="000000"/>
          <w:sz w:val="28"/>
        </w:rPr>
        <w:t>
      Примечание: Отчет может быть дополнен другими пунктами, подпунктами и приложениями, когда такое дополнение уместно для раскрытия итогов деятельности Компании за отчетный период.</w:t>
      </w:r>
    </w:p>
    <w:bookmarkEnd w:id="72"/>
    <w:bookmarkStart w:name="z161" w:id="73"/>
    <w:p>
      <w:pPr>
        <w:spacing w:after="0"/>
        <w:ind w:left="0"/>
        <w:jc w:val="both"/>
      </w:pPr>
      <w:r>
        <w:rPr>
          <w:rFonts w:ascii="Times New Roman"/>
          <w:b w:val="false"/>
          <w:i w:val="false"/>
          <w:color w:val="000000"/>
          <w:sz w:val="28"/>
        </w:rPr>
        <w:t>
      В случае дополнения Отчета пунктами, подпунктами и приложениями, каждый дополнительно представляемый пункт, подпункт и приложение имеют соответствующие наименования.</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 и</w:t>
            </w:r>
            <w:r>
              <w:br/>
            </w:r>
            <w:r>
              <w:rPr>
                <w:rFonts w:ascii="Times New Roman"/>
                <w:b w:val="false"/>
                <w:i w:val="false"/>
                <w:color w:val="000000"/>
                <w:sz w:val="20"/>
              </w:rPr>
              <w:t>представления отчетов по</w:t>
            </w:r>
            <w:r>
              <w:br/>
            </w:r>
            <w:r>
              <w:rPr>
                <w:rFonts w:ascii="Times New Roman"/>
                <w:b w:val="false"/>
                <w:i w:val="false"/>
                <w:color w:val="000000"/>
                <w:sz w:val="20"/>
              </w:rPr>
              <w:t xml:space="preserve">исполнению планов </w:t>
            </w:r>
            <w:r>
              <w:br/>
            </w:r>
            <w:r>
              <w:rPr>
                <w:rFonts w:ascii="Times New Roman"/>
                <w:b w:val="false"/>
                <w:i w:val="false"/>
                <w:color w:val="000000"/>
                <w:sz w:val="20"/>
              </w:rPr>
              <w:t>мероприятий</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p>
        </w:tc>
      </w:tr>
    </w:tbl>
    <w:bookmarkStart w:name="z163" w:id="74"/>
    <w:p>
      <w:pPr>
        <w:spacing w:after="0"/>
        <w:ind w:left="0"/>
        <w:jc w:val="left"/>
      </w:pPr>
      <w:r>
        <w:rPr>
          <w:rFonts w:ascii="Times New Roman"/>
          <w:b/>
          <w:i w:val="false"/>
          <w:color w:val="000000"/>
        </w:rPr>
        <w:t xml:space="preserve"> Формы и перечень показателей отчета по исполнению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74"/>
    <w:bookmarkStart w:name="z164" w:id="75"/>
    <w:p>
      <w:pPr>
        <w:spacing w:after="0"/>
        <w:ind w:left="0"/>
        <w:jc w:val="both"/>
      </w:pPr>
      <w:r>
        <w:rPr>
          <w:rFonts w:ascii="Times New Roman"/>
          <w:b w:val="false"/>
          <w:i w:val="false"/>
          <w:color w:val="000000"/>
          <w:sz w:val="28"/>
        </w:rPr>
        <w:t>
      1.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bookmarkEnd w:id="75"/>
    <w:bookmarkStart w:name="z165" w:id="76"/>
    <w:p>
      <w:pPr>
        <w:spacing w:after="0"/>
        <w:ind w:left="0"/>
        <w:jc w:val="both"/>
      </w:pPr>
      <w:r>
        <w:rPr>
          <w:rFonts w:ascii="Times New Roman"/>
          <w:b w:val="false"/>
          <w:i w:val="false"/>
          <w:color w:val="000000"/>
          <w:sz w:val="28"/>
        </w:rPr>
        <w:t>
      1.1. информация о создании Компании:</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Компании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(e-mail), сайт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Бизнес-идентификационный номер (БИН)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 (универсальный идентификационный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(перерегистрации) в органах юстиции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управления (государственный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история создания: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постановления Правительства Республики Казахстан о создании (реорганизации)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создания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 соответствии с учредительными документами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естественной монополии, сфера естественной монополии, когда принято решение о включении организации в государственный регистр субъектов естественных монополий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природопользователем: кем и когда предоставлено право специального природопользования, раскрыть характеристику природопользования (постоянное или временное, отчуждаемое или неотчуждаемое, приобретенное на возмездной основе или безвозмездно, первичное или вторичное)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недропользователем: кем и когда предоставлено право на недропользование, раскрыть операции по недропользованию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уставного капитала в соответствии с учредительными документами, тысяч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принимались решения об увеличении уставного капитала (постановление Правительства Республики Казахстан, приказ органа государственного управления, решение общего собрания акционеров (участников)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акции,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регистраторе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находящиеся в республиканской собственности, всего,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77"/>
    <w:p>
      <w:pPr>
        <w:spacing w:after="0"/>
        <w:ind w:left="0"/>
        <w:jc w:val="both"/>
      </w:pPr>
      <w:r>
        <w:rPr>
          <w:rFonts w:ascii="Times New Roman"/>
          <w:b w:val="false"/>
          <w:i w:val="false"/>
          <w:color w:val="000000"/>
          <w:sz w:val="28"/>
        </w:rPr>
        <w:t>
      1.2.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(ОПФ)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n уровня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78"/>
    <w:p>
      <w:pPr>
        <w:spacing w:after="0"/>
        <w:ind w:left="0"/>
        <w:jc w:val="both"/>
      </w:pPr>
      <w:r>
        <w:rPr>
          <w:rFonts w:ascii="Times New Roman"/>
          <w:b w:val="false"/>
          <w:i w:val="false"/>
          <w:color w:val="000000"/>
          <w:sz w:val="28"/>
        </w:rPr>
        <w:t>
      Сводная информация о количестве субъектов квазигосударственного сектора</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n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общества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ОПФ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79"/>
    <w:p>
      <w:pPr>
        <w:spacing w:after="0"/>
        <w:ind w:left="0"/>
        <w:jc w:val="both"/>
      </w:pPr>
      <w:r>
        <w:rPr>
          <w:rFonts w:ascii="Times New Roman"/>
          <w:b w:val="false"/>
          <w:i w:val="false"/>
          <w:color w:val="000000"/>
          <w:sz w:val="28"/>
        </w:rPr>
        <w:t>
      1.3. организационная структура Компании (с указанием численности работников), схема и описание.</w:t>
      </w:r>
    </w:p>
    <w:bookmarkEnd w:id="79"/>
    <w:bookmarkStart w:name="z171" w:id="80"/>
    <w:p>
      <w:pPr>
        <w:spacing w:after="0"/>
        <w:ind w:left="0"/>
        <w:jc w:val="both"/>
      </w:pPr>
      <w:r>
        <w:rPr>
          <w:rFonts w:ascii="Times New Roman"/>
          <w:b w:val="false"/>
          <w:i w:val="false"/>
          <w:color w:val="000000"/>
          <w:sz w:val="28"/>
        </w:rPr>
        <w:t>
      2. 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за отчетный период:</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первого уровня Системы государственного планирования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второго уровня Системы государственного планирования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Плана развития Компании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Плана развития Компании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(КП) Плана развития Компании (количественные или качественные)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81"/>
    <w:p>
      <w:pPr>
        <w:spacing w:after="0"/>
        <w:ind w:left="0"/>
        <w:jc w:val="both"/>
      </w:pPr>
      <w:r>
        <w:rPr>
          <w:rFonts w:ascii="Times New Roman"/>
          <w:b w:val="false"/>
          <w:i w:val="false"/>
          <w:color w:val="000000"/>
          <w:sz w:val="28"/>
        </w:rPr>
        <w:t>
      продолжение таблицы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ключевых показателей*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82"/>
    <w:p>
      <w:pPr>
        <w:spacing w:after="0"/>
        <w:ind w:left="0"/>
        <w:jc w:val="both"/>
      </w:pPr>
      <w:r>
        <w:rPr>
          <w:rFonts w:ascii="Times New Roman"/>
          <w:b w:val="false"/>
          <w:i w:val="false"/>
          <w:color w:val="000000"/>
          <w:sz w:val="28"/>
        </w:rPr>
        <w:t>
      Примечание:</w:t>
      </w:r>
    </w:p>
    <w:bookmarkEnd w:id="82"/>
    <w:bookmarkStart w:name="z175" w:id="83"/>
    <w:p>
      <w:pPr>
        <w:spacing w:after="0"/>
        <w:ind w:left="0"/>
        <w:jc w:val="both"/>
      </w:pPr>
      <w:r>
        <w:rPr>
          <w:rFonts w:ascii="Times New Roman"/>
          <w:b w:val="false"/>
          <w:i w:val="false"/>
          <w:color w:val="000000"/>
          <w:sz w:val="28"/>
        </w:rPr>
        <w:t>
      * значение ключевых показателей Плана мероприятий определяется путем обеспечения взаимоувязки и сопоставления финансовых, экономических и производственных показателей Компании и ее дочерних организаций.</w:t>
      </w:r>
    </w:p>
    <w:bookmarkEnd w:id="83"/>
    <w:bookmarkStart w:name="z176" w:id="84"/>
    <w:p>
      <w:pPr>
        <w:spacing w:after="0"/>
        <w:ind w:left="0"/>
        <w:jc w:val="both"/>
      </w:pPr>
      <w:r>
        <w:rPr>
          <w:rFonts w:ascii="Times New Roman"/>
          <w:b w:val="false"/>
          <w:i w:val="false"/>
          <w:color w:val="000000"/>
          <w:sz w:val="28"/>
        </w:rPr>
        <w:t>
      ** в отчете по исполнению плана отражаются причины недостижения показателей результатов.</w:t>
      </w:r>
    </w:p>
    <w:bookmarkEnd w:id="84"/>
    <w:bookmarkStart w:name="z177" w:id="85"/>
    <w:p>
      <w:pPr>
        <w:spacing w:after="0"/>
        <w:ind w:left="0"/>
        <w:jc w:val="both"/>
      </w:pPr>
      <w:r>
        <w:rPr>
          <w:rFonts w:ascii="Times New Roman"/>
          <w:b w:val="false"/>
          <w:i w:val="false"/>
          <w:color w:val="000000"/>
          <w:sz w:val="28"/>
        </w:rPr>
        <w:t>
      3. Мероприятия по реализации Плана мероприятий за отчетный период, с учетом стратегических направлений деятельности, указанных в Плана развития Компании, в том числе по:</w:t>
      </w:r>
    </w:p>
    <w:bookmarkEnd w:id="85"/>
    <w:bookmarkStart w:name="z178" w:id="86"/>
    <w:p>
      <w:pPr>
        <w:spacing w:after="0"/>
        <w:ind w:left="0"/>
        <w:jc w:val="both"/>
      </w:pPr>
      <w:r>
        <w:rPr>
          <w:rFonts w:ascii="Times New Roman"/>
          <w:b w:val="false"/>
          <w:i w:val="false"/>
          <w:color w:val="000000"/>
          <w:sz w:val="28"/>
        </w:rPr>
        <w:t>
      3.1. достижению ключевых показателей деятельности:</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ключевых показателей деятельности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мероприятия/показателей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87"/>
    <w:p>
      <w:pPr>
        <w:spacing w:after="0"/>
        <w:ind w:left="0"/>
        <w:jc w:val="both"/>
      </w:pPr>
      <w:r>
        <w:rPr>
          <w:rFonts w:ascii="Times New Roman"/>
          <w:b w:val="false"/>
          <w:i w:val="false"/>
          <w:color w:val="000000"/>
          <w:sz w:val="28"/>
        </w:rPr>
        <w:t>
      3.2. реструктуризации активов* и их обоснование:</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группы Компании (с указанием всех организаций, входящих в группу) на начало отчетного периода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актива (профильный, непрофильный,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актива за отчетный период (разделение, выделение, соединение, ликвидация, продажа (отчуждение) создание новых, приобретения акций (долей участия)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группы Компании (с указанием всех организаций, входящих в группу)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88"/>
    <w:p>
      <w:pPr>
        <w:spacing w:after="0"/>
        <w:ind w:left="0"/>
        <w:jc w:val="both"/>
      </w:pPr>
      <w:r>
        <w:rPr>
          <w:rFonts w:ascii="Times New Roman"/>
          <w:b w:val="false"/>
          <w:i w:val="false"/>
          <w:color w:val="000000"/>
          <w:sz w:val="28"/>
        </w:rPr>
        <w:t>
      Примечание:</w:t>
      </w:r>
    </w:p>
    <w:bookmarkEnd w:id="88"/>
    <w:bookmarkStart w:name="z183" w:id="89"/>
    <w:p>
      <w:pPr>
        <w:spacing w:after="0"/>
        <w:ind w:left="0"/>
        <w:jc w:val="both"/>
      </w:pPr>
      <w:r>
        <w:rPr>
          <w:rFonts w:ascii="Times New Roman"/>
          <w:b w:val="false"/>
          <w:i w:val="false"/>
          <w:color w:val="000000"/>
          <w:sz w:val="28"/>
        </w:rPr>
        <w:t>
      * активы – это юридические лица, входящие в группу Компании.</w:t>
      </w:r>
    </w:p>
    <w:bookmarkEnd w:id="89"/>
    <w:bookmarkStart w:name="z184" w:id="90"/>
    <w:p>
      <w:pPr>
        <w:spacing w:after="0"/>
        <w:ind w:left="0"/>
        <w:jc w:val="both"/>
      </w:pPr>
      <w:r>
        <w:rPr>
          <w:rFonts w:ascii="Times New Roman"/>
          <w:b w:val="false"/>
          <w:i w:val="false"/>
          <w:color w:val="000000"/>
          <w:sz w:val="28"/>
        </w:rPr>
        <w:t>
      4. Отношения с бюджетом за отчетный период:</w:t>
      </w:r>
    </w:p>
    <w:bookmarkEnd w:id="90"/>
    <w:bookmarkStart w:name="z185" w:id="91"/>
    <w:p>
      <w:pPr>
        <w:spacing w:after="0"/>
        <w:ind w:left="0"/>
        <w:jc w:val="both"/>
      </w:pPr>
      <w:r>
        <w:rPr>
          <w:rFonts w:ascii="Times New Roman"/>
          <w:b w:val="false"/>
          <w:i w:val="false"/>
          <w:color w:val="000000"/>
          <w:sz w:val="28"/>
        </w:rPr>
        <w:t>
      4.1. в соответствии с бюджетным законодательством Республики Казахстан поступления из республиканского бюджета:</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bookmarkStart w:name="z187" w:id="92"/>
    <w:p>
      <w:pPr>
        <w:spacing w:after="0"/>
        <w:ind w:left="0"/>
        <w:jc w:val="both"/>
      </w:pPr>
      <w:r>
        <w:rPr>
          <w:rFonts w:ascii="Times New Roman"/>
          <w:b w:val="false"/>
          <w:i w:val="false"/>
          <w:color w:val="000000"/>
          <w:sz w:val="28"/>
        </w:rPr>
        <w:t>
      тысяч тенге</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первого уровня Системы государственного планирования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второго уровня Системы государственного планирования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 или ее дочерней организации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93"/>
    <w:p>
      <w:pPr>
        <w:spacing w:after="0"/>
        <w:ind w:left="0"/>
        <w:jc w:val="both"/>
      </w:pPr>
      <w:r>
        <w:rPr>
          <w:rFonts w:ascii="Times New Roman"/>
          <w:b w:val="false"/>
          <w:i w:val="false"/>
          <w:color w:val="000000"/>
          <w:sz w:val="28"/>
        </w:rPr>
        <w:t>
      продолжение таблицы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94"/>
    <w:p>
      <w:pPr>
        <w:spacing w:after="0"/>
        <w:ind w:left="0"/>
        <w:jc w:val="both"/>
      </w:pPr>
      <w:r>
        <w:rPr>
          <w:rFonts w:ascii="Times New Roman"/>
          <w:b w:val="false"/>
          <w:i w:val="false"/>
          <w:color w:val="000000"/>
          <w:sz w:val="28"/>
        </w:rPr>
        <w:t>
      Примечание:</w:t>
      </w:r>
    </w:p>
    <w:bookmarkEnd w:id="94"/>
    <w:bookmarkStart w:name="z190" w:id="95"/>
    <w:p>
      <w:pPr>
        <w:spacing w:after="0"/>
        <w:ind w:left="0"/>
        <w:jc w:val="both"/>
      </w:pPr>
      <w:r>
        <w:rPr>
          <w:rFonts w:ascii="Times New Roman"/>
          <w:b w:val="false"/>
          <w:i w:val="false"/>
          <w:color w:val="000000"/>
          <w:sz w:val="28"/>
        </w:rPr>
        <w:t>
      * в отчете по исполнению плана отражаются причины недостижения показателей результатов.</w:t>
      </w:r>
    </w:p>
    <w:bookmarkEnd w:id="95"/>
    <w:bookmarkStart w:name="z191" w:id="96"/>
    <w:p>
      <w:pPr>
        <w:spacing w:after="0"/>
        <w:ind w:left="0"/>
        <w:jc w:val="both"/>
      </w:pPr>
      <w:r>
        <w:rPr>
          <w:rFonts w:ascii="Times New Roman"/>
          <w:b w:val="false"/>
          <w:i w:val="false"/>
          <w:color w:val="000000"/>
          <w:sz w:val="28"/>
        </w:rPr>
        <w:t>
      4.2.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мероприятий Компании:</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193" w:id="97"/>
    <w:p>
      <w:pPr>
        <w:spacing w:after="0"/>
        <w:ind w:left="0"/>
        <w:jc w:val="both"/>
      </w:pPr>
      <w:r>
        <w:rPr>
          <w:rFonts w:ascii="Times New Roman"/>
          <w:b w:val="false"/>
          <w:i w:val="false"/>
          <w:color w:val="000000"/>
          <w:sz w:val="28"/>
        </w:rPr>
        <w:t>
      тысяч тенге</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налогов и платежей,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экспортируемую сырую нефть, газовый конденсат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платежи и налоги недропользователей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98"/>
    <w:p>
      <w:pPr>
        <w:spacing w:after="0"/>
        <w:ind w:left="0"/>
        <w:jc w:val="both"/>
      </w:pPr>
      <w:r>
        <w:rPr>
          <w:rFonts w:ascii="Times New Roman"/>
          <w:b w:val="false"/>
          <w:i w:val="false"/>
          <w:color w:val="000000"/>
          <w:sz w:val="28"/>
        </w:rPr>
        <w:t>
      Примечание:</w:t>
      </w:r>
    </w:p>
    <w:bookmarkEnd w:id="98"/>
    <w:bookmarkStart w:name="z195" w:id="99"/>
    <w:p>
      <w:pPr>
        <w:spacing w:after="0"/>
        <w:ind w:left="0"/>
        <w:jc w:val="both"/>
      </w:pPr>
      <w:r>
        <w:rPr>
          <w:rFonts w:ascii="Times New Roman"/>
          <w:b w:val="false"/>
          <w:i w:val="false"/>
          <w:color w:val="000000"/>
          <w:sz w:val="28"/>
        </w:rPr>
        <w:t>
      * форма заполняется по консолидированным данным</w:t>
      </w:r>
    </w:p>
    <w:bookmarkEnd w:id="99"/>
    <w:bookmarkStart w:name="z196" w:id="100"/>
    <w:p>
      <w:pPr>
        <w:spacing w:after="0"/>
        <w:ind w:left="0"/>
        <w:jc w:val="both"/>
      </w:pPr>
      <w:r>
        <w:rPr>
          <w:rFonts w:ascii="Times New Roman"/>
          <w:b w:val="false"/>
          <w:i w:val="false"/>
          <w:color w:val="000000"/>
          <w:sz w:val="28"/>
        </w:rPr>
        <w:t>
      4.3. выплата дивидендов на государственный пакет акций:</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чистого дохода, в том числе 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акцию: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пакет акций, находящийся в государственной собственности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чистого дохода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проекты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убытков прошлых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01"/>
    <w:p>
      <w:pPr>
        <w:spacing w:after="0"/>
        <w:ind w:left="0"/>
        <w:jc w:val="both"/>
      </w:pPr>
      <w:r>
        <w:rPr>
          <w:rFonts w:ascii="Times New Roman"/>
          <w:b w:val="false"/>
          <w:i w:val="false"/>
          <w:color w:val="000000"/>
          <w:sz w:val="28"/>
        </w:rPr>
        <w:t>
      5.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w:t>
      </w:r>
    </w:p>
    <w:bookmarkEnd w:id="101"/>
    <w:bookmarkStart w:name="z199" w:id="102"/>
    <w:p>
      <w:pPr>
        <w:spacing w:after="0"/>
        <w:ind w:left="0"/>
        <w:jc w:val="both"/>
      </w:pPr>
      <w:r>
        <w:rPr>
          <w:rFonts w:ascii="Times New Roman"/>
          <w:b w:val="false"/>
          <w:i w:val="false"/>
          <w:color w:val="000000"/>
          <w:sz w:val="28"/>
        </w:rPr>
        <w:t>
      капитальные вложения, в том числе инвестиционные проекты (капитальные вложения в новые проекты, капитальные вложения в существующие проекты); строительство и модернизация объектов; приобретение основных средств; приобретение нематериальных активов и прочие вложения;</w:t>
      </w:r>
    </w:p>
    <w:bookmarkEnd w:id="102"/>
    <w:bookmarkStart w:name="z200" w:id="103"/>
    <w:p>
      <w:pPr>
        <w:spacing w:after="0"/>
        <w:ind w:left="0"/>
        <w:jc w:val="both"/>
      </w:pPr>
      <w:r>
        <w:rPr>
          <w:rFonts w:ascii="Times New Roman"/>
          <w:b w:val="false"/>
          <w:i w:val="false"/>
          <w:color w:val="000000"/>
          <w:sz w:val="28"/>
        </w:rPr>
        <w:t>
      инвестиции, в том числе приобретение пакетов акций (долей участия); вклады в уставной капитал и прочие инвестиции:</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первого уровня Системы государственного планирования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второго уровня Системы государственного планирования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проектов</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освоения проекта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ввода в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всего, в том числе: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новые проекты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существующие проекты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пакетов акций (долей участия)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уставный капитал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04"/>
    <w:p>
      <w:pPr>
        <w:spacing w:after="0"/>
        <w:ind w:left="0"/>
        <w:jc w:val="both"/>
      </w:pPr>
      <w:r>
        <w:rPr>
          <w:rFonts w:ascii="Times New Roman"/>
          <w:b w:val="false"/>
          <w:i w:val="false"/>
          <w:color w:val="000000"/>
          <w:sz w:val="28"/>
        </w:rPr>
        <w:t>
      продолжение таблицы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за отчетный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тысяч тенге</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за отчетный период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05"/>
    <w:p>
      <w:pPr>
        <w:spacing w:after="0"/>
        <w:ind w:left="0"/>
        <w:jc w:val="both"/>
      </w:pPr>
      <w:r>
        <w:rPr>
          <w:rFonts w:ascii="Times New Roman"/>
          <w:b w:val="false"/>
          <w:i w:val="false"/>
          <w:color w:val="000000"/>
          <w:sz w:val="28"/>
        </w:rPr>
        <w:t>
      6.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bookmarkEnd w:id="105"/>
    <w:bookmarkStart w:name="z204" w:id="106"/>
    <w:p>
      <w:pPr>
        <w:spacing w:after="0"/>
        <w:ind w:left="0"/>
        <w:jc w:val="both"/>
      </w:pPr>
      <w:r>
        <w:rPr>
          <w:rFonts w:ascii="Times New Roman"/>
          <w:b w:val="false"/>
          <w:i w:val="false"/>
          <w:color w:val="000000"/>
          <w:sz w:val="28"/>
        </w:rPr>
        <w:t>
      6.1. структура заимствований и график погашения в разрезе внутреннего и внешнего заимствования (в том числе дочерних организаций):</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заимствования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заимствования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собрания акционеров (единственного акционера) и/или Совета директоров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заимствования (Договор гарантии)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освоения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 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заимствования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заимствования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займа (Условия гарантии)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освоения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07"/>
    <w:p>
      <w:pPr>
        <w:spacing w:after="0"/>
        <w:ind w:left="0"/>
        <w:jc w:val="both"/>
      </w:pPr>
      <w:r>
        <w:rPr>
          <w:rFonts w:ascii="Times New Roman"/>
          <w:b w:val="false"/>
          <w:i w:val="false"/>
          <w:color w:val="000000"/>
          <w:sz w:val="28"/>
        </w:rPr>
        <w:t>
      продолжение таблицы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займа (Срок гарантируемого займа)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 по займу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(ОД) на отчетную дату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периода доступности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в днях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08"/>
    <w:p>
      <w:pPr>
        <w:spacing w:after="0"/>
        <w:ind w:left="0"/>
        <w:jc w:val="both"/>
      </w:pPr>
      <w:r>
        <w:rPr>
          <w:rFonts w:ascii="Times New Roman"/>
          <w:b w:val="false"/>
          <w:i w:val="false"/>
          <w:color w:val="000000"/>
          <w:sz w:val="28"/>
        </w:rPr>
        <w:t>
      6.2.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долга/EBITDA(Earnings before interest, taxes, depreciation and amortization): для компаний реального сектора экономики, коэффициент финансового левереджа, коэффициент покрытия процентов, коэффициент текущей ликвидности):</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 или ее дочерних организаций</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долга/EBITDA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09"/>
    <w:p>
      <w:pPr>
        <w:spacing w:after="0"/>
        <w:ind w:left="0"/>
        <w:jc w:val="both"/>
      </w:pPr>
      <w:r>
        <w:rPr>
          <w:rFonts w:ascii="Times New Roman"/>
          <w:b w:val="false"/>
          <w:i w:val="false"/>
          <w:color w:val="000000"/>
          <w:sz w:val="28"/>
        </w:rPr>
        <w:t>
      Примечание:</w:t>
      </w:r>
    </w:p>
    <w:bookmarkEnd w:id="109"/>
    <w:bookmarkStart w:name="z210" w:id="110"/>
    <w:p>
      <w:pPr>
        <w:spacing w:after="0"/>
        <w:ind w:left="0"/>
        <w:jc w:val="both"/>
      </w:pPr>
      <w:r>
        <w:rPr>
          <w:rFonts w:ascii="Times New Roman"/>
          <w:b w:val="false"/>
          <w:i w:val="false"/>
          <w:color w:val="000000"/>
          <w:sz w:val="28"/>
        </w:rPr>
        <w:t>
      * необходимо рассчитать показатели финансовой устойчивости в целом по компании, с обязательным сравнением с нормативом</w:t>
      </w:r>
    </w:p>
    <w:bookmarkEnd w:id="110"/>
    <w:bookmarkStart w:name="z211" w:id="111"/>
    <w:p>
      <w:pPr>
        <w:spacing w:after="0"/>
        <w:ind w:left="0"/>
        <w:jc w:val="both"/>
      </w:pPr>
      <w:r>
        <w:rPr>
          <w:rFonts w:ascii="Times New Roman"/>
          <w:b w:val="false"/>
          <w:i w:val="false"/>
          <w:color w:val="000000"/>
          <w:sz w:val="28"/>
        </w:rPr>
        <w:t>
      Коэффициент долга/ЕВITDA – это показатель долговой нагрузки на Компанию, ее способности погасить имеющиеся обязательства (платежеспособности). В качестве показателя поступления средств, необходимых для расчета по долгам Компании, в данном случае используется показатель EBITDA – прибыль до вычета процентов, налогов и амортизации.</w:t>
      </w:r>
    </w:p>
    <w:bookmarkEnd w:id="111"/>
    <w:bookmarkStart w:name="z212" w:id="112"/>
    <w:p>
      <w:pPr>
        <w:spacing w:after="0"/>
        <w:ind w:left="0"/>
        <w:jc w:val="both"/>
      </w:pPr>
      <w:r>
        <w:rPr>
          <w:rFonts w:ascii="Times New Roman"/>
          <w:b w:val="false"/>
          <w:i w:val="false"/>
          <w:color w:val="000000"/>
          <w:sz w:val="28"/>
        </w:rPr>
        <w:t>
      Рассчитывается по формуле:</w:t>
      </w:r>
    </w:p>
    <w:bookmarkEnd w:id="112"/>
    <w:bookmarkStart w:name="z213" w:id="113"/>
    <w:p>
      <w:pPr>
        <w:spacing w:after="0"/>
        <w:ind w:left="0"/>
        <w:jc w:val="both"/>
      </w:pPr>
      <w:r>
        <w:rPr>
          <w:rFonts w:ascii="Times New Roman"/>
          <w:b w:val="false"/>
          <w:i w:val="false"/>
          <w:color w:val="000000"/>
          <w:sz w:val="28"/>
        </w:rPr>
        <w:t>
      Коэффициент долга/ЕВITDA = Совокупные обязательства / EBITDA</w:t>
      </w:r>
    </w:p>
    <w:bookmarkEnd w:id="113"/>
    <w:bookmarkStart w:name="z214" w:id="114"/>
    <w:p>
      <w:pPr>
        <w:spacing w:after="0"/>
        <w:ind w:left="0"/>
        <w:jc w:val="both"/>
      </w:pPr>
      <w:r>
        <w:rPr>
          <w:rFonts w:ascii="Times New Roman"/>
          <w:b w:val="false"/>
          <w:i w:val="false"/>
          <w:color w:val="000000"/>
          <w:sz w:val="28"/>
        </w:rPr>
        <w:t>
      Рекомендуемое значение коэффициента долга/ЕВITDA: &lt;3, значение &gt;4-5 свидетельствует о слишком большой долговой нагрузке Компании и вероятных проблемах с погашением своих долгов.</w:t>
      </w:r>
    </w:p>
    <w:bookmarkEnd w:id="114"/>
    <w:bookmarkStart w:name="z215" w:id="115"/>
    <w:p>
      <w:pPr>
        <w:spacing w:after="0"/>
        <w:ind w:left="0"/>
        <w:jc w:val="both"/>
      </w:pPr>
      <w:r>
        <w:rPr>
          <w:rFonts w:ascii="Times New Roman"/>
          <w:b w:val="false"/>
          <w:i w:val="false"/>
          <w:color w:val="000000"/>
          <w:sz w:val="28"/>
        </w:rPr>
        <w:t>
      Коэффициент финансового левереджа – прямо пропорционален финансовому риску компании и отражает долю заемных средств в источниках финансирования активов компании.</w:t>
      </w:r>
    </w:p>
    <w:bookmarkEnd w:id="115"/>
    <w:bookmarkStart w:name="z216" w:id="116"/>
    <w:p>
      <w:pPr>
        <w:spacing w:after="0"/>
        <w:ind w:left="0"/>
        <w:jc w:val="both"/>
      </w:pPr>
      <w:r>
        <w:rPr>
          <w:rFonts w:ascii="Times New Roman"/>
          <w:b w:val="false"/>
          <w:i w:val="false"/>
          <w:color w:val="000000"/>
          <w:sz w:val="28"/>
        </w:rPr>
        <w:t>
      Рассчитывается по формуле:</w:t>
      </w:r>
    </w:p>
    <w:bookmarkEnd w:id="116"/>
    <w:bookmarkStart w:name="z217"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16637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637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8" w:id="118"/>
    <w:p>
      <w:pPr>
        <w:spacing w:after="0"/>
        <w:ind w:left="0"/>
        <w:jc w:val="both"/>
      </w:pPr>
      <w:r>
        <w:rPr>
          <w:rFonts w:ascii="Times New Roman"/>
          <w:b w:val="false"/>
          <w:i w:val="false"/>
          <w:color w:val="000000"/>
          <w:sz w:val="28"/>
        </w:rPr>
        <w:t>
      где: LС – заемный капитал; ЕС – собственный капитал.</w:t>
      </w:r>
    </w:p>
    <w:bookmarkEnd w:id="118"/>
    <w:bookmarkStart w:name="z219" w:id="119"/>
    <w:p>
      <w:pPr>
        <w:spacing w:after="0"/>
        <w:ind w:left="0"/>
        <w:jc w:val="both"/>
      </w:pPr>
      <w:r>
        <w:rPr>
          <w:rFonts w:ascii="Times New Roman"/>
          <w:b w:val="false"/>
          <w:i w:val="false"/>
          <w:color w:val="000000"/>
          <w:sz w:val="28"/>
        </w:rPr>
        <w:t>
      Рекомендуемое значение DR: &lt;1, значение &gt;1 свидетельствует о высокой долговой нагрузке компании, которая может негативно повлиять на ее финансовую устойчивость</w:t>
      </w:r>
    </w:p>
    <w:bookmarkEnd w:id="119"/>
    <w:bookmarkStart w:name="z220" w:id="120"/>
    <w:p>
      <w:pPr>
        <w:spacing w:after="0"/>
        <w:ind w:left="0"/>
        <w:jc w:val="both"/>
      </w:pPr>
      <w:r>
        <w:rPr>
          <w:rFonts w:ascii="Times New Roman"/>
          <w:b w:val="false"/>
          <w:i w:val="false"/>
          <w:color w:val="000000"/>
          <w:sz w:val="28"/>
        </w:rPr>
        <w:t>
      Коэффициент покрытия процентов – характеризует способность Компании обслуживать свои долговые обязательства. Показатель сравнивает прибыль до уплаты процентов и налогов за одни год) и проценты по долговым обязательствам за тот же период. Фактически коэффициент показывает, во сколько раз прибыль до уплаты процентов и налогов превышает расходы на уплату процентов.</w:t>
      </w:r>
    </w:p>
    <w:bookmarkEnd w:id="120"/>
    <w:bookmarkStart w:name="z221" w:id="121"/>
    <w:p>
      <w:pPr>
        <w:spacing w:after="0"/>
        <w:ind w:left="0"/>
        <w:jc w:val="both"/>
      </w:pPr>
      <w:r>
        <w:rPr>
          <w:rFonts w:ascii="Times New Roman"/>
          <w:b w:val="false"/>
          <w:i w:val="false"/>
          <w:color w:val="000000"/>
          <w:sz w:val="28"/>
        </w:rPr>
        <w:t>
      Рассчитывается по формуле:</w:t>
      </w:r>
    </w:p>
    <w:bookmarkEnd w:id="121"/>
    <w:bookmarkStart w:name="z222" w:id="122"/>
    <w:p>
      <w:pPr>
        <w:spacing w:after="0"/>
        <w:ind w:left="0"/>
        <w:jc w:val="both"/>
      </w:pPr>
      <w:r>
        <w:rPr>
          <w:rFonts w:ascii="Times New Roman"/>
          <w:b w:val="false"/>
          <w:i w:val="false"/>
          <w:color w:val="000000"/>
          <w:sz w:val="28"/>
        </w:rPr>
        <w:t>
      Коэффициент покрытия процентов = EBIT / Проценты к уплате</w:t>
      </w:r>
    </w:p>
    <w:bookmarkEnd w:id="122"/>
    <w:bookmarkStart w:name="z223" w:id="123"/>
    <w:p>
      <w:pPr>
        <w:spacing w:after="0"/>
        <w:ind w:left="0"/>
        <w:jc w:val="both"/>
      </w:pPr>
      <w:r>
        <w:rPr>
          <w:rFonts w:ascii="Times New Roman"/>
          <w:b w:val="false"/>
          <w:i w:val="false"/>
          <w:color w:val="000000"/>
          <w:sz w:val="28"/>
        </w:rPr>
        <w:t>
      Рекомендуемое значение: чем меньше коэффициент покрытия процентов, тем выше кредитное бремя Компании и тем выше вероятность наступления банкротства. Коэффициент ниже 1,5 ставит под вопрос возможность Компании обслуживать свой долг. Критическим считается коэффициент менее 1.</w:t>
      </w:r>
    </w:p>
    <w:bookmarkEnd w:id="123"/>
    <w:bookmarkStart w:name="z224" w:id="124"/>
    <w:p>
      <w:pPr>
        <w:spacing w:after="0"/>
        <w:ind w:left="0"/>
        <w:jc w:val="both"/>
      </w:pPr>
      <w:r>
        <w:rPr>
          <w:rFonts w:ascii="Times New Roman"/>
          <w:b w:val="false"/>
          <w:i w:val="false"/>
          <w:color w:val="000000"/>
          <w:sz w:val="28"/>
        </w:rPr>
        <w:t>
      Коэффициенты текущей ликвидности – рассчитывается для определения способности компании погашать текущую задолженность за счет имеющихся оборотных средств.</w:t>
      </w:r>
    </w:p>
    <w:bookmarkEnd w:id="124"/>
    <w:bookmarkStart w:name="z225" w:id="125"/>
    <w:p>
      <w:pPr>
        <w:spacing w:after="0"/>
        <w:ind w:left="0"/>
        <w:jc w:val="both"/>
      </w:pPr>
      <w:r>
        <w:rPr>
          <w:rFonts w:ascii="Times New Roman"/>
          <w:b w:val="false"/>
          <w:i w:val="false"/>
          <w:color w:val="000000"/>
          <w:sz w:val="28"/>
        </w:rPr>
        <w:t>
      Рассчитывается по формуле:</w:t>
      </w:r>
    </w:p>
    <w:bookmarkEnd w:id="125"/>
    <w:bookmarkStart w:name="z226"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15113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113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 w:id="127"/>
    <w:p>
      <w:pPr>
        <w:spacing w:after="0"/>
        <w:ind w:left="0"/>
        <w:jc w:val="both"/>
      </w:pPr>
      <w:r>
        <w:rPr>
          <w:rFonts w:ascii="Times New Roman"/>
          <w:b w:val="false"/>
          <w:i w:val="false"/>
          <w:color w:val="000000"/>
          <w:sz w:val="28"/>
        </w:rPr>
        <w:t>
      где: СА – текущие активы; СL – текущие обязательства.</w:t>
      </w:r>
    </w:p>
    <w:bookmarkEnd w:id="127"/>
    <w:bookmarkStart w:name="z228" w:id="128"/>
    <w:p>
      <w:pPr>
        <w:spacing w:after="0"/>
        <w:ind w:left="0"/>
        <w:jc w:val="both"/>
      </w:pPr>
      <w:r>
        <w:rPr>
          <w:rFonts w:ascii="Times New Roman"/>
          <w:b w:val="false"/>
          <w:i w:val="false"/>
          <w:color w:val="000000"/>
          <w:sz w:val="28"/>
        </w:rPr>
        <w:t>
      Рекомендуемое значение СR: 1 - 2. Значение &lt;1 свидетельствует о возможной утрате платежеспособности, значение &gt;4 – о недостаточной активности использования заемных средств и, как следствие, меньшее значение рентабельности собственного капитала</w:t>
      </w:r>
    </w:p>
    <w:bookmarkEnd w:id="128"/>
    <w:bookmarkStart w:name="z229" w:id="129"/>
    <w:p>
      <w:pPr>
        <w:spacing w:after="0"/>
        <w:ind w:left="0"/>
        <w:jc w:val="both"/>
      </w:pPr>
      <w:r>
        <w:rPr>
          <w:rFonts w:ascii="Times New Roman"/>
          <w:b w:val="false"/>
          <w:i w:val="false"/>
          <w:color w:val="000000"/>
          <w:sz w:val="28"/>
        </w:rPr>
        <w:t>
      6.3. долговая нагрузка Компании и ее дочерних организаций за отчетный период:</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емкость заимствования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предельной емкостью заимствования Компании (организации) и объемом финансовых обязательств*, включая суммы привлеченных займов и выданных корпоративных поручительств Компанией (организацией) за исключением, выданных в пользу своих дочерних и зависимых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емкость заимствования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сумма, доступная для привлечения займов, предоставления корпоративных гарантий и корпоративных поручительств Компании (организации), при которой коэффициенты емкости заимствования** достигают нормативных значений, утвержденных для Компании (организации), уполномоченным органом (должностным лицом) Компании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130"/>
    <w:p>
      <w:pPr>
        <w:spacing w:after="0"/>
        <w:ind w:left="0"/>
        <w:jc w:val="both"/>
      </w:pPr>
      <w:r>
        <w:rPr>
          <w:rFonts w:ascii="Times New Roman"/>
          <w:b w:val="false"/>
          <w:i w:val="false"/>
          <w:color w:val="000000"/>
          <w:sz w:val="28"/>
        </w:rPr>
        <w:t>
      Примечание:</w:t>
      </w:r>
    </w:p>
    <w:bookmarkEnd w:id="130"/>
    <w:bookmarkStart w:name="z232" w:id="131"/>
    <w:p>
      <w:pPr>
        <w:spacing w:after="0"/>
        <w:ind w:left="0"/>
        <w:jc w:val="both"/>
      </w:pPr>
      <w:r>
        <w:rPr>
          <w:rFonts w:ascii="Times New Roman"/>
          <w:b w:val="false"/>
          <w:i w:val="false"/>
          <w:color w:val="000000"/>
          <w:sz w:val="28"/>
        </w:rPr>
        <w:t>
      * объемом финансовых обязательств – объем любых обязательств, являющихся:</w:t>
      </w:r>
    </w:p>
    <w:bookmarkEnd w:id="131"/>
    <w:bookmarkStart w:name="z233" w:id="132"/>
    <w:p>
      <w:pPr>
        <w:spacing w:after="0"/>
        <w:ind w:left="0"/>
        <w:jc w:val="both"/>
      </w:pPr>
      <w:r>
        <w:rPr>
          <w:rFonts w:ascii="Times New Roman"/>
          <w:b w:val="false"/>
          <w:i w:val="false"/>
          <w:color w:val="000000"/>
          <w:sz w:val="28"/>
        </w:rPr>
        <w:t>
      обусловленным договором обязательством:</w:t>
      </w:r>
    </w:p>
    <w:bookmarkEnd w:id="132"/>
    <w:bookmarkStart w:name="z234" w:id="133"/>
    <w:p>
      <w:pPr>
        <w:spacing w:after="0"/>
        <w:ind w:left="0"/>
        <w:jc w:val="both"/>
      </w:pPr>
      <w:r>
        <w:rPr>
          <w:rFonts w:ascii="Times New Roman"/>
          <w:b w:val="false"/>
          <w:i w:val="false"/>
          <w:color w:val="000000"/>
          <w:sz w:val="28"/>
        </w:rPr>
        <w:t>
      передать денежные средства или иной финансовый актив другому субъекту;</w:t>
      </w:r>
    </w:p>
    <w:bookmarkEnd w:id="133"/>
    <w:bookmarkStart w:name="z235" w:id="134"/>
    <w:p>
      <w:pPr>
        <w:spacing w:after="0"/>
        <w:ind w:left="0"/>
        <w:jc w:val="both"/>
      </w:pPr>
      <w:r>
        <w:rPr>
          <w:rFonts w:ascii="Times New Roman"/>
          <w:b w:val="false"/>
          <w:i w:val="false"/>
          <w:color w:val="000000"/>
          <w:sz w:val="28"/>
        </w:rPr>
        <w:t>
      обменяться финансовыми активами или финансовыми обязательствами с другим субъектом на условиях, потенциально невыгодных для субъекта;</w:t>
      </w:r>
    </w:p>
    <w:bookmarkEnd w:id="134"/>
    <w:bookmarkStart w:name="z236" w:id="135"/>
    <w:p>
      <w:pPr>
        <w:spacing w:after="0"/>
        <w:ind w:left="0"/>
        <w:jc w:val="both"/>
      </w:pPr>
      <w:r>
        <w:rPr>
          <w:rFonts w:ascii="Times New Roman"/>
          <w:b w:val="false"/>
          <w:i w:val="false"/>
          <w:color w:val="000000"/>
          <w:sz w:val="28"/>
        </w:rPr>
        <w:t>
      договором, расчет по которому будет или может быть осуществлен собственными долевыми инструментами субъекта и:</w:t>
      </w:r>
    </w:p>
    <w:bookmarkEnd w:id="135"/>
    <w:bookmarkStart w:name="z237" w:id="136"/>
    <w:p>
      <w:pPr>
        <w:spacing w:after="0"/>
        <w:ind w:left="0"/>
        <w:jc w:val="both"/>
      </w:pPr>
      <w:r>
        <w:rPr>
          <w:rFonts w:ascii="Times New Roman"/>
          <w:b w:val="false"/>
          <w:i w:val="false"/>
          <w:color w:val="000000"/>
          <w:sz w:val="28"/>
        </w:rPr>
        <w:t>
      в соответствии с которым субъект предоставит или будет обязан предоставить переменное количество собственных долевых инструментов;</w:t>
      </w:r>
    </w:p>
    <w:bookmarkEnd w:id="136"/>
    <w:bookmarkStart w:name="z238" w:id="137"/>
    <w:p>
      <w:pPr>
        <w:spacing w:after="0"/>
        <w:ind w:left="0"/>
        <w:jc w:val="both"/>
      </w:pPr>
      <w:r>
        <w:rPr>
          <w:rFonts w:ascii="Times New Roman"/>
          <w:b w:val="false"/>
          <w:i w:val="false"/>
          <w:color w:val="000000"/>
          <w:sz w:val="28"/>
        </w:rPr>
        <w:t>
      расчет по которому будет или может быть произведен иным способом, чем обмен фиксированной суммы денежных средств или другого финансового актива на фиксированное количество собственных долевых инструментов субъекта. Для этих целей собственные долевые инструменты не включают инструменты, являющиеся договорами на получение или поставку собственных долевых инструментов субъекта в будущем;</w:t>
      </w:r>
    </w:p>
    <w:bookmarkEnd w:id="137"/>
    <w:bookmarkStart w:name="z239" w:id="138"/>
    <w:p>
      <w:pPr>
        <w:spacing w:after="0"/>
        <w:ind w:left="0"/>
        <w:jc w:val="both"/>
      </w:pPr>
      <w:r>
        <w:rPr>
          <w:rFonts w:ascii="Times New Roman"/>
          <w:b w:val="false"/>
          <w:i w:val="false"/>
          <w:color w:val="000000"/>
          <w:sz w:val="28"/>
        </w:rPr>
        <w:t>
      ** коэффициенты емкости заимствования – Компания (организация) самостоятельно определяет нормативное значение емкости заимствования для Компании (организации).</w:t>
      </w:r>
    </w:p>
    <w:bookmarkEnd w:id="138"/>
    <w:bookmarkStart w:name="z240" w:id="139"/>
    <w:p>
      <w:pPr>
        <w:spacing w:after="0"/>
        <w:ind w:left="0"/>
        <w:jc w:val="both"/>
      </w:pPr>
      <w:r>
        <w:rPr>
          <w:rFonts w:ascii="Times New Roman"/>
          <w:b w:val="false"/>
          <w:i w:val="false"/>
          <w:color w:val="000000"/>
          <w:sz w:val="28"/>
        </w:rPr>
        <w:t>
      7. Основные показатели финансово-хозяйственной деятельности, анализ с обоснованием причин роста или снижения, включая:</w:t>
      </w:r>
    </w:p>
    <w:bookmarkEnd w:id="139"/>
    <w:bookmarkStart w:name="z241" w:id="140"/>
    <w:p>
      <w:pPr>
        <w:spacing w:after="0"/>
        <w:ind w:left="0"/>
        <w:jc w:val="both"/>
      </w:pPr>
      <w:r>
        <w:rPr>
          <w:rFonts w:ascii="Times New Roman"/>
          <w:b w:val="false"/>
          <w:i w:val="false"/>
          <w:color w:val="000000"/>
          <w:sz w:val="28"/>
        </w:rPr>
        <w:t>
      7.1. управление временно свободными денежными средствами, политика их размещения за отчетный период:</w:t>
      </w:r>
    </w:p>
    <w:bookmarkEnd w:id="140"/>
    <w:bookmarkStart w:name="z242" w:id="141"/>
    <w:p>
      <w:pPr>
        <w:spacing w:after="0"/>
        <w:ind w:left="0"/>
        <w:jc w:val="both"/>
      </w:pPr>
      <w:r>
        <w:rPr>
          <w:rFonts w:ascii="Times New Roman"/>
          <w:b w:val="false"/>
          <w:i w:val="false"/>
          <w:color w:val="000000"/>
          <w:sz w:val="28"/>
        </w:rPr>
        <w:t>
      Наименование Компании (дочерней организации) *</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финансовых инструментов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размещенные на депозитах в банках второго уровня,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республиканского бюджета, выделенные на пополнение уставного капитала и выполнение государственного задания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Республики Казахстан, выделенные на пополнение уставного капитала и выполнение государственного задания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заимствованные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бюджетного кредитования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ценные бумаги,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эмитентов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обратного РЕПО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Текущие/корреспондентские счета,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Национальном банке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инструменты,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142"/>
    <w:p>
      <w:pPr>
        <w:spacing w:after="0"/>
        <w:ind w:left="0"/>
        <w:jc w:val="both"/>
      </w:pPr>
      <w:r>
        <w:rPr>
          <w:rFonts w:ascii="Times New Roman"/>
          <w:b w:val="false"/>
          <w:i w:val="false"/>
          <w:color w:val="000000"/>
          <w:sz w:val="28"/>
        </w:rPr>
        <w:t>
      Примечание:</w:t>
      </w:r>
    </w:p>
    <w:bookmarkEnd w:id="142"/>
    <w:bookmarkStart w:name="z245" w:id="143"/>
    <w:p>
      <w:pPr>
        <w:spacing w:after="0"/>
        <w:ind w:left="0"/>
        <w:jc w:val="both"/>
      </w:pPr>
      <w:r>
        <w:rPr>
          <w:rFonts w:ascii="Times New Roman"/>
          <w:b w:val="false"/>
          <w:i w:val="false"/>
          <w:color w:val="000000"/>
          <w:sz w:val="28"/>
        </w:rPr>
        <w:t>
      информация по объему временно-свободных денежных средств отражаются на конец года (отчетного/планового)</w:t>
      </w:r>
    </w:p>
    <w:bookmarkEnd w:id="143"/>
    <w:bookmarkStart w:name="z246" w:id="144"/>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144"/>
    <w:bookmarkStart w:name="z247" w:id="145"/>
    <w:p>
      <w:pPr>
        <w:spacing w:after="0"/>
        <w:ind w:left="0"/>
        <w:jc w:val="both"/>
      </w:pPr>
      <w:r>
        <w:rPr>
          <w:rFonts w:ascii="Times New Roman"/>
          <w:b w:val="false"/>
          <w:i w:val="false"/>
          <w:color w:val="000000"/>
          <w:sz w:val="28"/>
        </w:rPr>
        <w:t>
      7.2. дивидендной политики и их обоснование:</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p>
        </w:tc>
      </w:tr>
    </w:tbl>
    <w:bookmarkStart w:name="z249" w:id="146"/>
    <w:p>
      <w:pPr>
        <w:spacing w:after="0"/>
        <w:ind w:left="0"/>
        <w:jc w:val="both"/>
      </w:pPr>
      <w:r>
        <w:rPr>
          <w:rFonts w:ascii="Times New Roman"/>
          <w:b w:val="false"/>
          <w:i w:val="false"/>
          <w:color w:val="000000"/>
          <w:sz w:val="28"/>
        </w:rPr>
        <w:t>
      тысяч тенге</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дивидендов от дочерних организаций (ДО) Компании,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147"/>
    <w:p>
      <w:pPr>
        <w:spacing w:after="0"/>
        <w:ind w:left="0"/>
        <w:jc w:val="both"/>
      </w:pPr>
      <w:r>
        <w:rPr>
          <w:rFonts w:ascii="Times New Roman"/>
          <w:b w:val="false"/>
          <w:i w:val="false"/>
          <w:color w:val="000000"/>
          <w:sz w:val="28"/>
        </w:rPr>
        <w:t>
      7.3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 за отчетный период:</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148"/>
    <w:p>
      <w:pPr>
        <w:spacing w:after="0"/>
        <w:ind w:left="0"/>
        <w:jc w:val="both"/>
      </w:pPr>
      <w:r>
        <w:rPr>
          <w:rFonts w:ascii="Times New Roman"/>
          <w:b w:val="false"/>
          <w:i w:val="false"/>
          <w:color w:val="000000"/>
          <w:sz w:val="28"/>
        </w:rPr>
        <w:t>
      7.4 кадровой политики Компании и/или организаций, контрольный пакет акций (долей участия) которых принадлежит Компании (среднегодовая численность работников, среднемесячная заработная плата, фонд оплаты труда, уровень текучести кадров) за отчетный период*:</w:t>
      </w:r>
    </w:p>
    <w:bookmarkEnd w:id="148"/>
    <w:bookmarkStart w:name="z253" w:id="149"/>
    <w:p>
      <w:pPr>
        <w:spacing w:after="0"/>
        <w:ind w:left="0"/>
        <w:jc w:val="both"/>
      </w:pPr>
      <w:r>
        <w:rPr>
          <w:rFonts w:ascii="Times New Roman"/>
          <w:b w:val="false"/>
          <w:i w:val="false"/>
          <w:color w:val="000000"/>
          <w:sz w:val="28"/>
        </w:rPr>
        <w:t>
      Наименование Компании (дочерней организации) *</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150"/>
    <w:p>
      <w:pPr>
        <w:spacing w:after="0"/>
        <w:ind w:left="0"/>
        <w:jc w:val="both"/>
      </w:pPr>
      <w:r>
        <w:rPr>
          <w:rFonts w:ascii="Times New Roman"/>
          <w:b w:val="false"/>
          <w:i w:val="false"/>
          <w:color w:val="000000"/>
          <w:sz w:val="28"/>
        </w:rPr>
        <w:t>
      Примечание:</w:t>
      </w:r>
    </w:p>
    <w:bookmarkEnd w:id="150"/>
    <w:bookmarkStart w:name="z256" w:id="151"/>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151"/>
    <w:bookmarkStart w:name="z257" w:id="152"/>
    <w:p>
      <w:pPr>
        <w:spacing w:after="0"/>
        <w:ind w:left="0"/>
        <w:jc w:val="both"/>
      </w:pPr>
      <w:r>
        <w:rPr>
          <w:rFonts w:ascii="Times New Roman"/>
          <w:b w:val="false"/>
          <w:i w:val="false"/>
          <w:color w:val="000000"/>
          <w:sz w:val="28"/>
        </w:rPr>
        <w:t>
      7.5 консолидированные административные расходы за отчетный период с учетом дочерних организаций, прогноз с обоснованием роста или снижения:</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17</w:t>
            </w:r>
          </w:p>
        </w:tc>
      </w:tr>
    </w:tbl>
    <w:bookmarkStart w:name="z259" w:id="153"/>
    <w:p>
      <w:pPr>
        <w:spacing w:after="0"/>
        <w:ind w:left="0"/>
        <w:jc w:val="both"/>
      </w:pPr>
      <w:r>
        <w:rPr>
          <w:rFonts w:ascii="Times New Roman"/>
          <w:b w:val="false"/>
          <w:i w:val="false"/>
          <w:color w:val="000000"/>
          <w:sz w:val="28"/>
        </w:rPr>
        <w:t>
      тысяч тенге</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154"/>
    <w:p>
      <w:pPr>
        <w:spacing w:after="0"/>
        <w:ind w:left="0"/>
        <w:jc w:val="both"/>
      </w:pPr>
      <w:r>
        <w:rPr>
          <w:rFonts w:ascii="Times New Roman"/>
          <w:b w:val="false"/>
          <w:i w:val="false"/>
          <w:color w:val="000000"/>
          <w:sz w:val="28"/>
        </w:rPr>
        <w:t>
      7.6 административные расходы за отчетный период, с обоснованием роста или снижения:</w:t>
      </w:r>
    </w:p>
    <w:bookmarkEnd w:id="154"/>
    <w:bookmarkStart w:name="z261" w:id="155"/>
    <w:p>
      <w:pPr>
        <w:spacing w:after="0"/>
        <w:ind w:left="0"/>
        <w:jc w:val="both"/>
      </w:pPr>
      <w:r>
        <w:rPr>
          <w:rFonts w:ascii="Times New Roman"/>
          <w:b w:val="false"/>
          <w:i w:val="false"/>
          <w:color w:val="000000"/>
          <w:sz w:val="28"/>
        </w:rPr>
        <w:t>
      Наименование Компании (дочерней организации) *</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18</w:t>
            </w:r>
          </w:p>
        </w:tc>
      </w:tr>
    </w:tbl>
    <w:bookmarkStart w:name="z263" w:id="156"/>
    <w:p>
      <w:pPr>
        <w:spacing w:after="0"/>
        <w:ind w:left="0"/>
        <w:jc w:val="both"/>
      </w:pPr>
      <w:r>
        <w:rPr>
          <w:rFonts w:ascii="Times New Roman"/>
          <w:b w:val="false"/>
          <w:i w:val="false"/>
          <w:color w:val="000000"/>
          <w:sz w:val="28"/>
        </w:rPr>
        <w:t>
      тысяч тенге</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 w:id="157"/>
    <w:p>
      <w:pPr>
        <w:spacing w:after="0"/>
        <w:ind w:left="0"/>
        <w:jc w:val="both"/>
      </w:pPr>
      <w:r>
        <w:rPr>
          <w:rFonts w:ascii="Times New Roman"/>
          <w:b w:val="false"/>
          <w:i w:val="false"/>
          <w:color w:val="000000"/>
          <w:sz w:val="28"/>
        </w:rPr>
        <w:t>
      Примечание:</w:t>
      </w:r>
    </w:p>
    <w:bookmarkEnd w:id="157"/>
    <w:bookmarkStart w:name="z265" w:id="158"/>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158"/>
    <w:bookmarkStart w:name="z266" w:id="159"/>
    <w:p>
      <w:pPr>
        <w:spacing w:after="0"/>
        <w:ind w:left="0"/>
        <w:jc w:val="both"/>
      </w:pPr>
      <w:r>
        <w:rPr>
          <w:rFonts w:ascii="Times New Roman"/>
          <w:b w:val="false"/>
          <w:i w:val="false"/>
          <w:color w:val="000000"/>
          <w:sz w:val="28"/>
        </w:rPr>
        <w:t>
      7.7 расходы по аренде нежилых помещений за отчетный период:</w:t>
      </w:r>
    </w:p>
    <w:bookmarkEnd w:id="159"/>
    <w:bookmarkStart w:name="z267" w:id="160"/>
    <w:p>
      <w:pPr>
        <w:spacing w:after="0"/>
        <w:ind w:left="0"/>
        <w:jc w:val="both"/>
      </w:pPr>
      <w:r>
        <w:rPr>
          <w:rFonts w:ascii="Times New Roman"/>
          <w:b w:val="false"/>
          <w:i w:val="false"/>
          <w:color w:val="000000"/>
          <w:sz w:val="28"/>
        </w:rPr>
        <w:t>
      Наименование Компании (дочерней организации) *</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1 квадратный метр арендуемой площади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площадь помещений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занимаемая площадь помещений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Кабинета председателя 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отдыха председателя 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Приемной председателя 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председателя правления (управляющего директора - члена 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председателя правления (управляющего директора - члена 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председателя правления (управляющего директора - члена 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управляющего директора (руководителя аппарата)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управляющего директора (руководителя аппарата)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управляющего директора (руководителя аппарата)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(директора департамента)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(директора департамента)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компании (на 1 работника)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нормативами, утвержденными постановлением Правительства Республики Казахстан от 2 декабря 2014 года № 1266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161"/>
    <w:p>
      <w:pPr>
        <w:spacing w:after="0"/>
        <w:ind w:left="0"/>
        <w:jc w:val="both"/>
      </w:pPr>
      <w:r>
        <w:rPr>
          <w:rFonts w:ascii="Times New Roman"/>
          <w:b w:val="false"/>
          <w:i w:val="false"/>
          <w:color w:val="000000"/>
          <w:sz w:val="28"/>
        </w:rPr>
        <w:t>
      Примечание:</w:t>
      </w:r>
    </w:p>
    <w:bookmarkEnd w:id="161"/>
    <w:bookmarkStart w:name="z270" w:id="162"/>
    <w:p>
      <w:pPr>
        <w:spacing w:after="0"/>
        <w:ind w:left="0"/>
        <w:jc w:val="both"/>
      </w:pPr>
      <w:r>
        <w:rPr>
          <w:rFonts w:ascii="Times New Roman"/>
          <w:b w:val="false"/>
          <w:i w:val="false"/>
          <w:color w:val="000000"/>
          <w:sz w:val="28"/>
        </w:rPr>
        <w:t>
      в случае превышения установленных лимитов на занимаемые площади, требуется пояснение</w:t>
      </w:r>
    </w:p>
    <w:bookmarkEnd w:id="162"/>
    <w:bookmarkStart w:name="z271" w:id="163"/>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163"/>
    <w:bookmarkStart w:name="z272" w:id="164"/>
    <w:p>
      <w:pPr>
        <w:spacing w:after="0"/>
        <w:ind w:left="0"/>
        <w:jc w:val="both"/>
      </w:pPr>
      <w:r>
        <w:rPr>
          <w:rFonts w:ascii="Times New Roman"/>
          <w:b w:val="false"/>
          <w:i w:val="false"/>
          <w:color w:val="000000"/>
          <w:sz w:val="28"/>
        </w:rPr>
        <w:t>
      7.8 основные 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20</w:t>
            </w:r>
          </w:p>
        </w:tc>
      </w:tr>
    </w:tbl>
    <w:bookmarkStart w:name="z274" w:id="165"/>
    <w:p>
      <w:pPr>
        <w:spacing w:after="0"/>
        <w:ind w:left="0"/>
        <w:jc w:val="both"/>
      </w:pPr>
      <w:r>
        <w:rPr>
          <w:rFonts w:ascii="Times New Roman"/>
          <w:b w:val="false"/>
          <w:i w:val="false"/>
          <w:color w:val="000000"/>
          <w:sz w:val="28"/>
        </w:rPr>
        <w:t>
      тысяч тенге</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финансовой аренды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инвестициями в недвижимость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 финансовых инструментов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(доход от начисленных штрафов, пени, неустоек за нарушение условий договоров; страховые случаи; прочие доходы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прекращаемой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организаций, учитываемых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совместных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продукции и оказанию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 по финансовой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 финансовых инструментов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финансирование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и списанию безнадежных требований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(штрафы, пени, неустойки за нарушение условий договоров; на возмещение судебных издержек и арбитражных сборов; прочие расходы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прекращаемой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организаций, учитываемых методом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ассоциированных организациях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совместных организациях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 w:id="166"/>
    <w:p>
      <w:pPr>
        <w:spacing w:after="0"/>
        <w:ind w:left="0"/>
        <w:jc w:val="both"/>
      </w:pPr>
      <w:r>
        <w:rPr>
          <w:rFonts w:ascii="Times New Roman"/>
          <w:b w:val="false"/>
          <w:i w:val="false"/>
          <w:color w:val="000000"/>
          <w:sz w:val="28"/>
        </w:rPr>
        <w:t>
      Примечание:</w:t>
      </w:r>
    </w:p>
    <w:bookmarkEnd w:id="166"/>
    <w:bookmarkStart w:name="z276" w:id="167"/>
    <w:p>
      <w:pPr>
        <w:spacing w:after="0"/>
        <w:ind w:left="0"/>
        <w:jc w:val="both"/>
      </w:pPr>
      <w:r>
        <w:rPr>
          <w:rFonts w:ascii="Times New Roman"/>
          <w:b w:val="false"/>
          <w:i w:val="false"/>
          <w:color w:val="000000"/>
          <w:sz w:val="28"/>
        </w:rPr>
        <w:t>
      К основным консолидированным финансовым показателям деятельности Компании прилагается информация об учетной политике Компании и пояснительная записка с указанием расчетов показателей.</w:t>
      </w:r>
    </w:p>
    <w:bookmarkEnd w:id="167"/>
    <w:bookmarkStart w:name="z277" w:id="168"/>
    <w:p>
      <w:pPr>
        <w:spacing w:after="0"/>
        <w:ind w:left="0"/>
        <w:jc w:val="both"/>
      </w:pPr>
      <w:r>
        <w:rPr>
          <w:rFonts w:ascii="Times New Roman"/>
          <w:b w:val="false"/>
          <w:i w:val="false"/>
          <w:color w:val="000000"/>
          <w:sz w:val="28"/>
        </w:rPr>
        <w:t>
      7.9 основные неконсолидированные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168"/>
    <w:bookmarkStart w:name="z278" w:id="169"/>
    <w:p>
      <w:pPr>
        <w:spacing w:after="0"/>
        <w:ind w:left="0"/>
        <w:jc w:val="both"/>
      </w:pPr>
      <w:r>
        <w:rPr>
          <w:rFonts w:ascii="Times New Roman"/>
          <w:b w:val="false"/>
          <w:i w:val="false"/>
          <w:color w:val="000000"/>
          <w:sz w:val="28"/>
        </w:rPr>
        <w:t>
      Наименование Компании (дочерней организации) *</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21</w:t>
            </w:r>
          </w:p>
        </w:tc>
      </w:tr>
    </w:tbl>
    <w:bookmarkStart w:name="z280" w:id="170"/>
    <w:p>
      <w:pPr>
        <w:spacing w:after="0"/>
        <w:ind w:left="0"/>
        <w:jc w:val="both"/>
      </w:pPr>
      <w:r>
        <w:rPr>
          <w:rFonts w:ascii="Times New Roman"/>
          <w:b w:val="false"/>
          <w:i w:val="false"/>
          <w:color w:val="000000"/>
          <w:sz w:val="28"/>
        </w:rPr>
        <w:t>
      тысяч тенге</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финансовой аренды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инвестициями в недвижимость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 финансовых инструментов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(доход от начисленных штрафов, пени, неустоек за нарушение условий договоров; страховые случаи; прочие доходы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прекращаемой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организаций, учитываемых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совместных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продукции и оказанию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 по финансовой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 финансовых инструментов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финансирование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и списанию безнадежных требований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(штрафы, пени, неустойки за нарушение условий договоров; на возмещение судебных издержек и арбитражных сборов; прочие расходы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прекращаемой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организаций, учитываемых методом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ассоциированных организациях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совместных организациях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171"/>
    <w:p>
      <w:pPr>
        <w:spacing w:after="0"/>
        <w:ind w:left="0"/>
        <w:jc w:val="both"/>
      </w:pPr>
      <w:r>
        <w:rPr>
          <w:rFonts w:ascii="Times New Roman"/>
          <w:b w:val="false"/>
          <w:i w:val="false"/>
          <w:color w:val="000000"/>
          <w:sz w:val="28"/>
        </w:rPr>
        <w:t>
      Примечание:</w:t>
      </w:r>
    </w:p>
    <w:bookmarkEnd w:id="171"/>
    <w:bookmarkStart w:name="z282" w:id="172"/>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172"/>
    <w:bookmarkStart w:name="z283" w:id="173"/>
    <w:p>
      <w:pPr>
        <w:spacing w:after="0"/>
        <w:ind w:left="0"/>
        <w:jc w:val="both"/>
      </w:pPr>
      <w:r>
        <w:rPr>
          <w:rFonts w:ascii="Times New Roman"/>
          <w:b w:val="false"/>
          <w:i w:val="false"/>
          <w:color w:val="000000"/>
          <w:sz w:val="28"/>
        </w:rPr>
        <w:t>
      8. Информация по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корпоративного управления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