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13bd" w14:textId="9df1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тарифа с применением метода сравнительного анализа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18 марта 2015 года № 221. Зарегистрирован в Министерстве юстиции Республики Казахстан 8 мая 2015 года № 10990. Утратил силу приказом Министра национальной экономики Республики Казахстан от 21 июля 2015 года № 548</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21.07.2015 </w:t>
      </w:r>
      <w:r>
        <w:rPr>
          <w:rFonts w:ascii="Times New Roman"/>
          <w:b w:val="false"/>
          <w:i w:val="false"/>
          <w:color w:val="ff0000"/>
          <w:sz w:val="28"/>
        </w:rPr>
        <w:t>№ 548</w:t>
      </w:r>
      <w:r>
        <w:rPr>
          <w:rFonts w:ascii="Times New Roman"/>
          <w:b w:val="false"/>
          <w:i w:val="false"/>
          <w:color w:val="ff0000"/>
          <w:sz w:val="28"/>
        </w:rPr>
        <w:t xml:space="preserve"> (вводится в действие с 01.01.2016).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тарифа с применением метода сравнительного анализа. </w:t>
      </w:r>
      <w:r>
        <w:br/>
      </w:r>
      <w:r>
        <w:rPr>
          <w:rFonts w:ascii="Times New Roman"/>
          <w:b w:val="false"/>
          <w:i w:val="false"/>
          <w:color w:val="000000"/>
          <w:sz w:val="28"/>
        </w:rPr>
        <w:t>
</w:t>
      </w:r>
      <w:r>
        <w:rPr>
          <w:rFonts w:ascii="Times New Roman"/>
          <w:b w:val="false"/>
          <w:i w:val="false"/>
          <w:color w:val="000000"/>
          <w:sz w:val="28"/>
        </w:rPr>
        <w:t xml:space="preserve">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 </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 </w:t>
      </w:r>
      <w:r>
        <w:br/>
      </w:r>
      <w:r>
        <w:rPr>
          <w:rFonts w:ascii="Times New Roman"/>
          <w:b w:val="false"/>
          <w:i w:val="false"/>
          <w:color w:val="000000"/>
          <w:sz w:val="28"/>
        </w:rPr>
        <w:t xml:space="preserve">
      3) размещение настоящего приказа на интернет-ресурсе Министерства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первого вице-министра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Е. Досаев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энергетики</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_______________ В. Школьник</w:t>
      </w:r>
      <w:r>
        <w:br/>
      </w:r>
      <w:r>
        <w:rPr>
          <w:rFonts w:ascii="Times New Roman"/>
          <w:b w:val="false"/>
          <w:i w:val="false"/>
          <w:color w:val="000000"/>
          <w:sz w:val="28"/>
        </w:rPr>
        <w:t>
</w:t>
      </w:r>
      <w:r>
        <w:rPr>
          <w:rFonts w:ascii="Times New Roman"/>
          <w:b w:val="false"/>
          <w:i/>
          <w:color w:val="000000"/>
          <w:sz w:val="28"/>
        </w:rPr>
        <w:t>      7 апреля 2015 года</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приказом Министра национальной</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xml:space="preserve">
от 18 марта 2015 года № 221 </w:t>
      </w:r>
    </w:p>
    <w:bookmarkStart w:name="z6" w:id="1"/>
    <w:p>
      <w:pPr>
        <w:spacing w:after="0"/>
        <w:ind w:left="0"/>
        <w:jc w:val="left"/>
      </w:pPr>
      <w:r>
        <w:rPr>
          <w:rFonts w:ascii="Times New Roman"/>
          <w:b/>
          <w:i w:val="false"/>
          <w:color w:val="000000"/>
        </w:rPr>
        <w:t xml:space="preserve"> 
Методика</w:t>
      </w:r>
      <w:r>
        <w:br/>
      </w:r>
      <w:r>
        <w:rPr>
          <w:rFonts w:ascii="Times New Roman"/>
          <w:b/>
          <w:i w:val="false"/>
          <w:color w:val="000000"/>
        </w:rPr>
        <w:t>
расчета тарифа с применением метода сравнительного анализа</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Настоящая Методика расчета тарифа с применением метода сравнительного анализа (далее – Методика) разработана в соответствии со </w:t>
      </w:r>
      <w:r>
        <w:rPr>
          <w:rFonts w:ascii="Times New Roman"/>
          <w:b w:val="false"/>
          <w:i w:val="false"/>
          <w:color w:val="000000"/>
          <w:sz w:val="28"/>
        </w:rPr>
        <w:t>статьей 15-2</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w:t>
      </w:r>
      <w:r>
        <w:br/>
      </w:r>
      <w:r>
        <w:rPr>
          <w:rFonts w:ascii="Times New Roman"/>
          <w:b w:val="false"/>
          <w:i w:val="false"/>
          <w:color w:val="000000"/>
          <w:sz w:val="28"/>
        </w:rPr>
        <w:t>
</w:t>
      </w:r>
      <w:r>
        <w:rPr>
          <w:rFonts w:ascii="Times New Roman"/>
          <w:b w:val="false"/>
          <w:i w:val="false"/>
          <w:color w:val="000000"/>
          <w:sz w:val="28"/>
        </w:rPr>
        <w:t xml:space="preserve">
      2. Целью Методики является определение механизма расчета тарифов на регулируемые услуги по передаче и распределению электрической энергии по сетям региональных электросетевых компаний с применением метода сравнительного анализа, способствующих повышению эффективности их производственной и финансовой деятельности. </w:t>
      </w:r>
      <w:r>
        <w:br/>
      </w:r>
      <w:r>
        <w:rPr>
          <w:rFonts w:ascii="Times New Roman"/>
          <w:b w:val="false"/>
          <w:i w:val="false"/>
          <w:color w:val="000000"/>
          <w:sz w:val="28"/>
        </w:rPr>
        <w:t>
</w:t>
      </w:r>
      <w:r>
        <w:rPr>
          <w:rFonts w:ascii="Times New Roman"/>
          <w:b w:val="false"/>
          <w:i w:val="false"/>
          <w:color w:val="000000"/>
          <w:sz w:val="28"/>
        </w:rPr>
        <w:t xml:space="preserve">
      3. Методика определяет процедуры проведения уполномоченным органом сравнительного анализа деятельности региональных электросетевых компаний, расчета тарифов региональных электросетевых компаний на услуги по передаче и распределению электрической энергии с применением метода сравнительного анализа. </w:t>
      </w:r>
      <w:r>
        <w:br/>
      </w:r>
      <w:r>
        <w:rPr>
          <w:rFonts w:ascii="Times New Roman"/>
          <w:b w:val="false"/>
          <w:i w:val="false"/>
          <w:color w:val="000000"/>
          <w:sz w:val="28"/>
        </w:rPr>
        <w:t>
</w:t>
      </w:r>
      <w:r>
        <w:rPr>
          <w:rFonts w:ascii="Times New Roman"/>
          <w:b w:val="false"/>
          <w:i w:val="false"/>
          <w:color w:val="000000"/>
          <w:sz w:val="28"/>
        </w:rPr>
        <w:t xml:space="preserve">
      4. Метод сравнительного анализа предусматривает: </w:t>
      </w:r>
      <w:r>
        <w:br/>
      </w:r>
      <w:r>
        <w:rPr>
          <w:rFonts w:ascii="Times New Roman"/>
          <w:b w:val="false"/>
          <w:i w:val="false"/>
          <w:color w:val="000000"/>
          <w:sz w:val="28"/>
        </w:rPr>
        <w:t xml:space="preserve">
      1) определение параметров эффективности деятельности региональных электросетевых компаний в результате сравнительного анализа с деятельностью других региональных электросетевых компаний; </w:t>
      </w:r>
      <w:r>
        <w:br/>
      </w:r>
      <w:r>
        <w:rPr>
          <w:rFonts w:ascii="Times New Roman"/>
          <w:b w:val="false"/>
          <w:i w:val="false"/>
          <w:color w:val="000000"/>
          <w:sz w:val="28"/>
        </w:rPr>
        <w:t xml:space="preserve">
      2) установление для каждой региональной электросетевой компании задачи по повышению эффективности деятельности путем учета в тарифе затрат, скорректированных на определенный параметр эффективности в соответствии с настоящей Методикой; </w:t>
      </w:r>
      <w:r>
        <w:br/>
      </w:r>
      <w:r>
        <w:rPr>
          <w:rFonts w:ascii="Times New Roman"/>
          <w:b w:val="false"/>
          <w:i w:val="false"/>
          <w:color w:val="000000"/>
          <w:sz w:val="28"/>
        </w:rPr>
        <w:t xml:space="preserve">
      3) учет в тарифе региональных электросетевых компаний инвестиционной составляющей, включая амортизационные отчисления и прибыль. </w:t>
      </w:r>
    </w:p>
    <w:bookmarkEnd w:id="3"/>
    <w:bookmarkStart w:name="z12" w:id="4"/>
    <w:p>
      <w:pPr>
        <w:spacing w:after="0"/>
        <w:ind w:left="0"/>
        <w:jc w:val="left"/>
      </w:pPr>
      <w:r>
        <w:rPr>
          <w:rFonts w:ascii="Times New Roman"/>
          <w:b/>
          <w:i w:val="false"/>
          <w:color w:val="000000"/>
        </w:rPr>
        <w:t xml:space="preserve"> 
2. Выбор показателей для сравнительного анализа эффективности</w:t>
      </w:r>
      <w:r>
        <w:br/>
      </w:r>
      <w:r>
        <w:rPr>
          <w:rFonts w:ascii="Times New Roman"/>
          <w:b/>
          <w:i w:val="false"/>
          <w:color w:val="000000"/>
        </w:rPr>
        <w:t>
функционирования региональных электросетевых компаний</w:t>
      </w:r>
    </w:p>
    <w:bookmarkEnd w:id="4"/>
    <w:bookmarkStart w:name="z14" w:id="5"/>
    <w:p>
      <w:pPr>
        <w:spacing w:after="0"/>
        <w:ind w:left="0"/>
        <w:jc w:val="both"/>
      </w:pPr>
      <w:r>
        <w:rPr>
          <w:rFonts w:ascii="Times New Roman"/>
          <w:b w:val="false"/>
          <w:i w:val="false"/>
          <w:color w:val="000000"/>
          <w:sz w:val="28"/>
        </w:rPr>
        <w:t xml:space="preserve">
      5. Для проведения сравнительного анализа эффективности функционирования региональных электросетевых компаний из предоставленной региональными электросетевыми компаниями информации осуществляется выбор показателей: результативного и факторных признаков. </w:t>
      </w:r>
      <w:r>
        <w:br/>
      </w:r>
      <w:r>
        <w:rPr>
          <w:rFonts w:ascii="Times New Roman"/>
          <w:b w:val="false"/>
          <w:i w:val="false"/>
          <w:color w:val="000000"/>
          <w:sz w:val="28"/>
        </w:rPr>
        <w:t>
      Сравнительный анализ в последующие четыре и более года проводится на основании тех факторных признаков, которые использовались при проведении сравнительного анализа в первый год утверждения тарифа. Значения факторных признаков определяются на основании информации о производственных и финансовых показателях за предшествующий календарный год, подтвержденной обосновывающими материалами.</w:t>
      </w:r>
      <w:r>
        <w:br/>
      </w:r>
      <w:r>
        <w:rPr>
          <w:rFonts w:ascii="Times New Roman"/>
          <w:b w:val="false"/>
          <w:i w:val="false"/>
          <w:color w:val="000000"/>
          <w:sz w:val="28"/>
        </w:rPr>
        <w:t>
</w:t>
      </w:r>
      <w:r>
        <w:rPr>
          <w:rFonts w:ascii="Times New Roman"/>
          <w:b w:val="false"/>
          <w:i w:val="false"/>
          <w:color w:val="000000"/>
          <w:sz w:val="28"/>
        </w:rPr>
        <w:t xml:space="preserve">
      6. Результативный признак каждой региональной электросетевой компании прямо отражает эффективность ее деятельности и косвенно отражает меру влияния на результаты суммарной эффективности деятельности всех региональных электросетевых компаний за предшествующий анализируемый период и применяется для корректировки тарифа на последующие годы. Результативным признаком (выходным фактором) сравнительного анализа являются фактические затраты региональных электросетевых компаний на оказание услуг на передачу и распределение электрической энергии (за исключением неконтролируемых затрат региональных электросетевых компаний и амортизации) за предшествующий календарный год. </w:t>
      </w:r>
      <w:r>
        <w:br/>
      </w:r>
      <w:r>
        <w:rPr>
          <w:rFonts w:ascii="Times New Roman"/>
          <w:b w:val="false"/>
          <w:i w:val="false"/>
          <w:color w:val="000000"/>
          <w:sz w:val="28"/>
        </w:rPr>
        <w:t>
</w:t>
      </w:r>
      <w:r>
        <w:rPr>
          <w:rFonts w:ascii="Times New Roman"/>
          <w:b w:val="false"/>
          <w:i w:val="false"/>
          <w:color w:val="000000"/>
          <w:sz w:val="28"/>
        </w:rPr>
        <w:t xml:space="preserve">
      7. Факторными признаками (входными данными) сравнительного анализа эффективности функционирования региональных электросетевых компаний, являются признаки, которые существенно влияют на величину результативного признака (выходные данные) и на уровень эффективности использования ресурсов. В качестве факторных признаков используются следующие показатели: </w:t>
      </w:r>
      <w:r>
        <w:br/>
      </w:r>
      <w:r>
        <w:rPr>
          <w:rFonts w:ascii="Times New Roman"/>
          <w:b w:val="false"/>
          <w:i w:val="false"/>
          <w:color w:val="000000"/>
          <w:sz w:val="28"/>
        </w:rPr>
        <w:t xml:space="preserve">
      1) площадь территории обслуживания; </w:t>
      </w:r>
      <w:r>
        <w:br/>
      </w:r>
      <w:r>
        <w:rPr>
          <w:rFonts w:ascii="Times New Roman"/>
          <w:b w:val="false"/>
          <w:i w:val="false"/>
          <w:color w:val="000000"/>
          <w:sz w:val="28"/>
        </w:rPr>
        <w:t xml:space="preserve">
      2) количество присоединенных потребителей (абонентов); </w:t>
      </w:r>
      <w:r>
        <w:br/>
      </w:r>
      <w:r>
        <w:rPr>
          <w:rFonts w:ascii="Times New Roman"/>
          <w:b w:val="false"/>
          <w:i w:val="false"/>
          <w:color w:val="000000"/>
          <w:sz w:val="28"/>
        </w:rPr>
        <w:t xml:space="preserve">
      3) общая протяженность линий электропередачи; </w:t>
      </w:r>
      <w:r>
        <w:br/>
      </w:r>
      <w:r>
        <w:rPr>
          <w:rFonts w:ascii="Times New Roman"/>
          <w:b w:val="false"/>
          <w:i w:val="false"/>
          <w:color w:val="000000"/>
          <w:sz w:val="28"/>
        </w:rPr>
        <w:t xml:space="preserve">
      4) количество силовых трансформаторов; </w:t>
      </w:r>
      <w:r>
        <w:br/>
      </w:r>
      <w:r>
        <w:rPr>
          <w:rFonts w:ascii="Times New Roman"/>
          <w:b w:val="false"/>
          <w:i w:val="false"/>
          <w:color w:val="000000"/>
          <w:sz w:val="28"/>
        </w:rPr>
        <w:t xml:space="preserve">
      5) общая мощность силовых трансформаторов; </w:t>
      </w:r>
      <w:r>
        <w:br/>
      </w:r>
      <w:r>
        <w:rPr>
          <w:rFonts w:ascii="Times New Roman"/>
          <w:b w:val="false"/>
          <w:i w:val="false"/>
          <w:color w:val="000000"/>
          <w:sz w:val="28"/>
        </w:rPr>
        <w:t xml:space="preserve">
      6) максимальная нагрузка в электрических сетях, зафиксированная в течение года; </w:t>
      </w:r>
      <w:r>
        <w:br/>
      </w:r>
      <w:r>
        <w:rPr>
          <w:rFonts w:ascii="Times New Roman"/>
          <w:b w:val="false"/>
          <w:i w:val="false"/>
          <w:color w:val="000000"/>
          <w:sz w:val="28"/>
        </w:rPr>
        <w:t xml:space="preserve">
      7) фактические потери электрической энергии в электрических сетях за предшествующий календарный год; </w:t>
      </w:r>
      <w:r>
        <w:br/>
      </w:r>
      <w:r>
        <w:rPr>
          <w:rFonts w:ascii="Times New Roman"/>
          <w:b w:val="false"/>
          <w:i w:val="false"/>
          <w:color w:val="000000"/>
          <w:sz w:val="28"/>
        </w:rPr>
        <w:t xml:space="preserve">
      8) объем передачи электрической энергии за календарный год. </w:t>
      </w:r>
    </w:p>
    <w:bookmarkEnd w:id="5"/>
    <w:bookmarkStart w:name="z17" w:id="6"/>
    <w:p>
      <w:pPr>
        <w:spacing w:after="0"/>
        <w:ind w:left="0"/>
        <w:jc w:val="left"/>
      </w:pPr>
      <w:r>
        <w:rPr>
          <w:rFonts w:ascii="Times New Roman"/>
          <w:b/>
          <w:i w:val="false"/>
          <w:color w:val="000000"/>
        </w:rPr>
        <w:t xml:space="preserve"> 
3. Сравнительный анализ эффективности функционирования</w:t>
      </w:r>
      <w:r>
        <w:br/>
      </w:r>
      <w:r>
        <w:rPr>
          <w:rFonts w:ascii="Times New Roman"/>
          <w:b/>
          <w:i w:val="false"/>
          <w:color w:val="000000"/>
        </w:rPr>
        <w:t>
региональных электросетевых компаний</w:t>
      </w:r>
    </w:p>
    <w:bookmarkEnd w:id="6"/>
    <w:bookmarkStart w:name="z18" w:id="7"/>
    <w:p>
      <w:pPr>
        <w:spacing w:after="0"/>
        <w:ind w:left="0"/>
        <w:jc w:val="both"/>
      </w:pPr>
      <w:r>
        <w:rPr>
          <w:rFonts w:ascii="Times New Roman"/>
          <w:b w:val="false"/>
          <w:i w:val="false"/>
          <w:color w:val="000000"/>
          <w:sz w:val="28"/>
        </w:rPr>
        <w:t xml:space="preserve">
      8. Совокупность результативных признаков группы региональных электросетевых компаний для проведения сравнительного анализа представляется в виде: </w:t>
      </w:r>
      <w:r>
        <w:br/>
      </w: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y</w:t>
      </w:r>
      <w:r>
        <w:rPr>
          <w:rFonts w:ascii="Times New Roman"/>
          <w:b w:val="false"/>
          <w:i w:val="false"/>
          <w:color w:val="000000"/>
          <w:vertAlign w:val="subscript"/>
        </w:rPr>
        <w:t>1</w:t>
      </w:r>
      <w:r>
        <w:rPr>
          <w:rFonts w:ascii="Times New Roman"/>
          <w:b w:val="false"/>
          <w:i w:val="false"/>
          <w:color w:val="000000"/>
          <w:sz w:val="28"/>
        </w:rPr>
        <w:t>, y</w:t>
      </w:r>
      <w:r>
        <w:rPr>
          <w:rFonts w:ascii="Times New Roman"/>
          <w:b w:val="false"/>
          <w:i w:val="false"/>
          <w:color w:val="000000"/>
          <w:vertAlign w:val="subscript"/>
        </w:rPr>
        <w:t>2</w:t>
      </w:r>
      <w:r>
        <w:rPr>
          <w:rFonts w:ascii="Times New Roman"/>
          <w:b w:val="false"/>
          <w:i w:val="false"/>
          <w:color w:val="000000"/>
          <w:sz w:val="28"/>
        </w:rPr>
        <w:t>, …, y</w:t>
      </w:r>
      <w:r>
        <w:rPr>
          <w:rFonts w:ascii="Times New Roman"/>
          <w:b w:val="false"/>
          <w:i w:val="false"/>
          <w:color w:val="000000"/>
          <w:vertAlign w:val="subscript"/>
        </w:rPr>
        <w:t xml:space="preserve">n      </w:t>
      </w:r>
      <w:r>
        <w:rPr>
          <w:rFonts w:ascii="Times New Roman"/>
          <w:b w:val="false"/>
          <w:i w:val="false"/>
          <w:color w:val="000000"/>
          <w:sz w:val="28"/>
        </w:rPr>
        <w:t>(1),</w:t>
      </w:r>
      <w:r>
        <w:br/>
      </w:r>
      <w:r>
        <w:rPr>
          <w:rFonts w:ascii="Times New Roman"/>
          <w:b w:val="false"/>
          <w:i w:val="false"/>
          <w:color w:val="000000"/>
          <w:sz w:val="28"/>
        </w:rPr>
        <w:t>
      где:</w:t>
      </w:r>
      <w:r>
        <w:br/>
      </w:r>
      <w:r>
        <w:rPr>
          <w:rFonts w:ascii="Times New Roman"/>
          <w:b w:val="false"/>
          <w:i w:val="false"/>
          <w:color w:val="000000"/>
          <w:sz w:val="28"/>
        </w:rPr>
        <w:t>
      i = 1, 2, …, n - количество региональных электросетевых компаний в группе;</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y</w:t>
      </w:r>
      <w:r>
        <w:rPr>
          <w:rFonts w:ascii="Times New Roman"/>
          <w:b w:val="false"/>
          <w:i w:val="false"/>
          <w:color w:val="000000"/>
          <w:vertAlign w:val="subscript"/>
        </w:rPr>
        <w:t>2</w:t>
      </w:r>
      <w:r>
        <w:rPr>
          <w:rFonts w:ascii="Times New Roman"/>
          <w:b w:val="false"/>
          <w:i w:val="false"/>
          <w:color w:val="000000"/>
          <w:sz w:val="28"/>
        </w:rPr>
        <w:t>, …, y</w:t>
      </w:r>
      <w:r>
        <w:rPr>
          <w:rFonts w:ascii="Times New Roman"/>
          <w:b w:val="false"/>
          <w:i w:val="false"/>
          <w:color w:val="000000"/>
          <w:vertAlign w:val="subscript"/>
        </w:rPr>
        <w:t>n</w:t>
      </w:r>
      <w:r>
        <w:rPr>
          <w:rFonts w:ascii="Times New Roman"/>
          <w:b w:val="false"/>
          <w:i w:val="false"/>
          <w:color w:val="000000"/>
          <w:sz w:val="28"/>
        </w:rPr>
        <w:t xml:space="preserve"> – фактические затраты региональных электросетевых компаний на оказание услуг за календарный год за вычетом неконтролируемых затрат и амортизации (результативный признак).</w:t>
      </w:r>
      <w:r>
        <w:br/>
      </w:r>
      <w:r>
        <w:rPr>
          <w:rFonts w:ascii="Times New Roman"/>
          <w:b w:val="false"/>
          <w:i w:val="false"/>
          <w:color w:val="000000"/>
          <w:sz w:val="28"/>
        </w:rPr>
        <w:t>
</w:t>
      </w:r>
      <w:r>
        <w:rPr>
          <w:rFonts w:ascii="Times New Roman"/>
          <w:b w:val="false"/>
          <w:i w:val="false"/>
          <w:color w:val="000000"/>
          <w:sz w:val="28"/>
        </w:rPr>
        <w:t xml:space="preserve">
      9. Совокупность факторных признаков группы региональных электросетевых компаний для проведения сравнительного анализа представляется в виде матрицы значений: </w:t>
      </w:r>
    </w:p>
    <w:bookmarkEnd w:id="7"/>
    <w:p>
      <w:pPr>
        <w:spacing w:after="0"/>
        <w:ind w:left="0"/>
        <w:jc w:val="both"/>
      </w:pPr>
      <w:r>
        <w:rPr>
          <w:rFonts w:ascii="Times New Roman"/>
          <w:b w:val="false"/>
          <w:i w:val="false"/>
          <w:color w:val="000000"/>
          <w:sz w:val="28"/>
        </w:rPr>
        <w:t>      </w:t>
      </w:r>
      <w:r>
        <w:drawing>
          <wp:inline distT="0" distB="0" distL="0" distR="0">
            <wp:extent cx="2882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1511300"/>
                    </a:xfrm>
                    <a:prstGeom prst="rect">
                      <a:avLst/>
                    </a:prstGeom>
                  </pic:spPr>
                </pic:pic>
              </a:graphicData>
            </a:graphic>
          </wp:inline>
        </w:drawing>
      </w:r>
      <w:r>
        <w:rPr>
          <w:rFonts w:ascii="Times New Roman"/>
          <w:b w:val="false"/>
          <w:i w:val="false"/>
          <w:color w:val="000000"/>
          <w:sz w:val="28"/>
        </w:rPr>
        <w:t>      (2),</w:t>
      </w:r>
    </w:p>
    <w:bookmarkStart w:name="z20" w:id="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I = 1, 2, …, n – количество региональных электросетевых компаний в группе;</w:t>
      </w:r>
      <w:r>
        <w:br/>
      </w:r>
      <w:r>
        <w:rPr>
          <w:rFonts w:ascii="Times New Roman"/>
          <w:b w:val="false"/>
          <w:i w:val="false"/>
          <w:color w:val="000000"/>
          <w:sz w:val="28"/>
        </w:rPr>
        <w:t>
      m - идентификатор факторных признаков используемых в сравнительном анализе;</w:t>
      </w:r>
      <w:r>
        <w:br/>
      </w:r>
      <w:r>
        <w:rPr>
          <w:rFonts w:ascii="Times New Roman"/>
          <w:b w:val="false"/>
          <w:i w:val="false"/>
          <w:color w:val="000000"/>
          <w:sz w:val="28"/>
        </w:rPr>
        <w:t>
      x</w:t>
      </w:r>
      <w:r>
        <w:rPr>
          <w:rFonts w:ascii="Times New Roman"/>
          <w:b w:val="false"/>
          <w:i w:val="false"/>
          <w:color w:val="000000"/>
          <w:vertAlign w:val="subscript"/>
        </w:rPr>
        <w:t>mi</w:t>
      </w:r>
      <w:r>
        <w:rPr>
          <w:rFonts w:ascii="Times New Roman"/>
          <w:b w:val="false"/>
          <w:i w:val="false"/>
          <w:color w:val="000000"/>
          <w:sz w:val="28"/>
        </w:rPr>
        <w:t xml:space="preserve"> – значение факторного признака m по i-му региональных электросетевых компаний.</w:t>
      </w:r>
      <w:r>
        <w:br/>
      </w:r>
      <w:r>
        <w:rPr>
          <w:rFonts w:ascii="Times New Roman"/>
          <w:b w:val="false"/>
          <w:i w:val="false"/>
          <w:color w:val="000000"/>
          <w:sz w:val="28"/>
        </w:rPr>
        <w:t xml:space="preserve">
      10. Сравнительный анализ эффективности функционирования региональных электросетевых компаний осуществляется путем построения регрессионной зависимости по группе региональных электросетевых компаний. </w:t>
      </w:r>
      <w:r>
        <w:br/>
      </w:r>
      <w:r>
        <w:rPr>
          <w:rFonts w:ascii="Times New Roman"/>
          <w:b w:val="false"/>
          <w:i w:val="false"/>
          <w:color w:val="000000"/>
          <w:sz w:val="28"/>
        </w:rPr>
        <w:t>
      Все региональные электросетевые компании формируются в одну группу.</w:t>
      </w:r>
      <w:r>
        <w:br/>
      </w:r>
      <w:r>
        <w:rPr>
          <w:rFonts w:ascii="Times New Roman"/>
          <w:b w:val="false"/>
          <w:i w:val="false"/>
          <w:color w:val="000000"/>
          <w:sz w:val="28"/>
        </w:rPr>
        <w:t>
</w:t>
      </w:r>
      <w:r>
        <w:rPr>
          <w:rFonts w:ascii="Times New Roman"/>
          <w:b w:val="false"/>
          <w:i w:val="false"/>
          <w:color w:val="000000"/>
          <w:sz w:val="28"/>
        </w:rPr>
        <w:t xml:space="preserve">
      11. Проведение регрессионного анализа, заключается в получении аналитической зависимости между результативным признаком Y и совокупностью факторных признаков Хm: </w:t>
      </w:r>
    </w:p>
    <w:bookmarkEnd w:id="8"/>
    <w:p>
      <w:pPr>
        <w:spacing w:after="0"/>
        <w:ind w:left="0"/>
        <w:jc w:val="both"/>
      </w:pPr>
      <w:r>
        <w:rPr>
          <w:rFonts w:ascii="Times New Roman"/>
          <w:b w:val="false"/>
          <w:i w:val="false"/>
          <w:color w:val="000000"/>
          <w:sz w:val="28"/>
        </w:rPr>
        <w:t>      Y = a</w:t>
      </w:r>
      <w:r>
        <w:rPr>
          <w:rFonts w:ascii="Times New Roman"/>
          <w:b w:val="false"/>
          <w:i w:val="false"/>
          <w:color w:val="000000"/>
          <w:vertAlign w:val="subscript"/>
        </w:rPr>
        <w:t>0</w:t>
      </w:r>
      <w:r>
        <w:rPr>
          <w:rFonts w:ascii="Times New Roman"/>
          <w:b w:val="false"/>
          <w:i w:val="false"/>
          <w:color w:val="000000"/>
          <w:sz w:val="28"/>
        </w:rPr>
        <w:t xml:space="preserve"> + a</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1</w:t>
      </w:r>
      <w:r>
        <w:rPr>
          <w:rFonts w:ascii="Times New Roman"/>
          <w:b w:val="false"/>
          <w:i w:val="false"/>
          <w:color w:val="000000"/>
          <w:sz w:val="28"/>
        </w:rPr>
        <w:t xml:space="preserve"> + a</w:t>
      </w:r>
      <w:r>
        <w:rPr>
          <w:rFonts w:ascii="Times New Roman"/>
          <w:b w:val="false"/>
          <w:i w:val="false"/>
          <w:color w:val="000000"/>
          <w:vertAlign w:val="subscript"/>
        </w:rPr>
        <w:t>2</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xml:space="preserve"> + … + a</w:t>
      </w:r>
      <w:r>
        <w:rPr>
          <w:rFonts w:ascii="Times New Roman"/>
          <w:b w:val="false"/>
          <w:i w:val="false"/>
          <w:color w:val="000000"/>
          <w:vertAlign w:val="subscript"/>
        </w:rPr>
        <w:t>m</w:t>
      </w:r>
      <w:r>
        <w:rPr>
          <w:rFonts w:ascii="Times New Roman"/>
          <w:b w:val="false"/>
          <w:i w:val="false"/>
          <w:color w:val="000000"/>
          <w:sz w:val="28"/>
        </w:rPr>
        <w:t>X</w:t>
      </w:r>
      <w:r>
        <w:rPr>
          <w:rFonts w:ascii="Times New Roman"/>
          <w:b w:val="false"/>
          <w:i w:val="false"/>
          <w:color w:val="000000"/>
          <w:vertAlign w:val="subscript"/>
        </w:rPr>
        <w:t xml:space="preserve">m      </w:t>
      </w:r>
      <w:r>
        <w:rPr>
          <w:rFonts w:ascii="Times New Roman"/>
          <w:b w:val="false"/>
          <w:i w:val="false"/>
          <w:color w:val="000000"/>
          <w:sz w:val="28"/>
        </w:rPr>
        <w:t>(3),</w:t>
      </w:r>
    </w:p>
    <w:bookmarkStart w:name="z22" w:id="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m – идентификатор факторных признаков, используемых в сравнительном анализе;</w:t>
      </w:r>
      <w:r>
        <w:br/>
      </w:r>
      <w:r>
        <w:rPr>
          <w:rFonts w:ascii="Times New Roman"/>
          <w:b w:val="false"/>
          <w:i w:val="false"/>
          <w:color w:val="000000"/>
          <w:sz w:val="28"/>
        </w:rPr>
        <w:t>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 xml:space="preserve">аm </w:t>
      </w:r>
      <w:r>
        <w:rPr>
          <w:rFonts w:ascii="Times New Roman"/>
          <w:b w:val="false"/>
          <w:i w:val="false"/>
          <w:color w:val="000000"/>
          <w:sz w:val="28"/>
        </w:rPr>
        <w:t>– коэффициенты регрессии, определяющие связь результативного признака Y с каждым из факторных признаков Х</w:t>
      </w:r>
      <w:r>
        <w:rPr>
          <w:rFonts w:ascii="Times New Roman"/>
          <w:b w:val="false"/>
          <w:i w:val="false"/>
          <w:color w:val="000000"/>
          <w:vertAlign w:val="subscript"/>
        </w:rPr>
        <w:t>m</w:t>
      </w:r>
      <w:r>
        <w:rPr>
          <w:rFonts w:ascii="Times New Roman"/>
          <w:b w:val="false"/>
          <w:i w:val="false"/>
          <w:color w:val="000000"/>
          <w:sz w:val="28"/>
        </w:rPr>
        <w:t>.</w:t>
      </w:r>
      <w:r>
        <w:br/>
      </w:r>
      <w:r>
        <w:rPr>
          <w:rFonts w:ascii="Times New Roman"/>
          <w:b w:val="false"/>
          <w:i w:val="false"/>
          <w:color w:val="000000"/>
          <w:sz w:val="28"/>
        </w:rPr>
        <w:t xml:space="preserve">
      12. Регрессионный анализ производится в следующем порядке: </w:t>
      </w:r>
      <w:r>
        <w:br/>
      </w:r>
      <w:r>
        <w:rPr>
          <w:rFonts w:ascii="Times New Roman"/>
          <w:b w:val="false"/>
          <w:i w:val="false"/>
          <w:color w:val="000000"/>
          <w:sz w:val="28"/>
        </w:rPr>
        <w:t>
      1) получение коэффициентов уравнения регрессии путем решения системы уравнений:</w:t>
      </w:r>
    </w:p>
    <w:bookmarkEnd w:id="9"/>
    <w:p>
      <w:pPr>
        <w:spacing w:after="0"/>
        <w:ind w:left="0"/>
        <w:jc w:val="both"/>
      </w:pPr>
      <w:r>
        <w:rPr>
          <w:rFonts w:ascii="Times New Roman"/>
          <w:b w:val="false"/>
          <w:i w:val="false"/>
          <w:color w:val="000000"/>
          <w:sz w:val="28"/>
        </w:rPr>
        <w:t>      </w:t>
      </w:r>
      <w:r>
        <w:drawing>
          <wp:inline distT="0" distB="0" distL="0" distR="0">
            <wp:extent cx="51181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18100" cy="1905000"/>
                    </a:xfrm>
                    <a:prstGeom prst="rect">
                      <a:avLst/>
                    </a:prstGeom>
                  </pic:spPr>
                </pic:pic>
              </a:graphicData>
            </a:graphic>
          </wp:inline>
        </w:drawing>
      </w:r>
      <w:r>
        <w:rPr>
          <w:rFonts w:ascii="Times New Roman"/>
          <w:b w:val="false"/>
          <w:i w:val="false"/>
          <w:color w:val="000000"/>
          <w:sz w:val="28"/>
        </w:rPr>
        <w:t>      (4);</w:t>
      </w:r>
    </w:p>
    <w:bookmarkStart w:name="z23" w:id="10"/>
    <w:p>
      <w:pPr>
        <w:spacing w:after="0"/>
        <w:ind w:left="0"/>
        <w:jc w:val="both"/>
      </w:pPr>
      <w:r>
        <w:rPr>
          <w:rFonts w:ascii="Times New Roman"/>
          <w:b w:val="false"/>
          <w:i w:val="false"/>
          <w:color w:val="000000"/>
          <w:sz w:val="28"/>
        </w:rPr>
        <w:t>      2) проверка статистической достоверности полученного уравнения регрессии и значимости коэффициентов;</w:t>
      </w:r>
      <w:r>
        <w:br/>
      </w:r>
      <w:r>
        <w:rPr>
          <w:rFonts w:ascii="Times New Roman"/>
          <w:b w:val="false"/>
          <w:i w:val="false"/>
          <w:color w:val="000000"/>
          <w:sz w:val="28"/>
        </w:rPr>
        <w:t>
      Для проведения регрессионного анализа используется режим «Регрессия» надстройки «Пакет анализа» MS Excel.</w:t>
      </w:r>
      <w:r>
        <w:br/>
      </w:r>
      <w:r>
        <w:rPr>
          <w:rFonts w:ascii="Times New Roman"/>
          <w:b w:val="false"/>
          <w:i w:val="false"/>
          <w:color w:val="000000"/>
          <w:sz w:val="28"/>
        </w:rPr>
        <w:t xml:space="preserve">
      13. Результатами регрессионного анализа являются: </w:t>
      </w:r>
      <w:r>
        <w:br/>
      </w:r>
      <w:r>
        <w:rPr>
          <w:rFonts w:ascii="Times New Roman"/>
          <w:b w:val="false"/>
          <w:i w:val="false"/>
          <w:color w:val="000000"/>
          <w:sz w:val="28"/>
        </w:rPr>
        <w:t>
      1) для каждой региональной электросетевой компании: значения предсказанного результативного признака (y</w:t>
      </w:r>
      <w:r>
        <w:rPr>
          <w:rFonts w:ascii="Times New Roman"/>
          <w:b w:val="false"/>
          <w:i w:val="false"/>
          <w:color w:val="000000"/>
          <w:vertAlign w:val="subscript"/>
        </w:rPr>
        <w:t>1</w:t>
      </w:r>
      <w:r>
        <w:rPr>
          <w:rFonts w:ascii="Times New Roman"/>
          <w:b w:val="false"/>
          <w:i w:val="false"/>
          <w:color w:val="000000"/>
          <w:vertAlign w:val="superscript"/>
        </w:rPr>
        <w:t>рез</w:t>
      </w:r>
      <w:r>
        <w:rPr>
          <w:rFonts w:ascii="Times New Roman"/>
          <w:b w:val="false"/>
          <w:i w:val="false"/>
          <w:color w:val="000000"/>
          <w:sz w:val="28"/>
        </w:rPr>
        <w:t>, y</w:t>
      </w:r>
      <w:r>
        <w:rPr>
          <w:rFonts w:ascii="Times New Roman"/>
          <w:b w:val="false"/>
          <w:i w:val="false"/>
          <w:color w:val="000000"/>
          <w:vertAlign w:val="subscript"/>
        </w:rPr>
        <w:t>2</w:t>
      </w:r>
      <w:r>
        <w:rPr>
          <w:rFonts w:ascii="Times New Roman"/>
          <w:b w:val="false"/>
          <w:i w:val="false"/>
          <w:color w:val="000000"/>
          <w:vertAlign w:val="superscript"/>
        </w:rPr>
        <w:t>рез</w:t>
      </w:r>
      <w:r>
        <w:rPr>
          <w:rFonts w:ascii="Times New Roman"/>
          <w:b w:val="false"/>
          <w:i w:val="false"/>
          <w:color w:val="000000"/>
          <w:sz w:val="28"/>
        </w:rPr>
        <w:t>, …, y</w:t>
      </w:r>
      <w:r>
        <w:rPr>
          <w:rFonts w:ascii="Times New Roman"/>
          <w:b w:val="false"/>
          <w:i w:val="false"/>
          <w:color w:val="000000"/>
          <w:vertAlign w:val="subscript"/>
        </w:rPr>
        <w:t>n</w:t>
      </w:r>
      <w:r>
        <w:rPr>
          <w:rFonts w:ascii="Times New Roman"/>
          <w:b w:val="false"/>
          <w:i w:val="false"/>
          <w:color w:val="000000"/>
          <w:vertAlign w:val="superscript"/>
        </w:rPr>
        <w:t>рез</w:t>
      </w:r>
      <w:r>
        <w:rPr>
          <w:rFonts w:ascii="Times New Roman"/>
          <w:b w:val="false"/>
          <w:i w:val="false"/>
          <w:color w:val="000000"/>
          <w:sz w:val="28"/>
        </w:rPr>
        <w:t>), соответствующие регрессионной зависимости между значениями результативного признака Y и факторными признаками сравнительного анализа X, значения остатков результативного признака Y, не вошедших в регрессионную зависимость y</w:t>
      </w:r>
      <w:r>
        <w:rPr>
          <w:rFonts w:ascii="Times New Roman"/>
          <w:b w:val="false"/>
          <w:i w:val="false"/>
          <w:color w:val="000000"/>
          <w:vertAlign w:val="subscript"/>
        </w:rPr>
        <w:t>1</w:t>
      </w:r>
      <w:r>
        <w:rPr>
          <w:rFonts w:ascii="Times New Roman"/>
          <w:b w:val="false"/>
          <w:i w:val="false"/>
          <w:color w:val="000000"/>
          <w:vertAlign w:val="superscript"/>
        </w:rPr>
        <w:t>ост</w:t>
      </w:r>
      <w:r>
        <w:rPr>
          <w:rFonts w:ascii="Times New Roman"/>
          <w:b w:val="false"/>
          <w:i w:val="false"/>
          <w:color w:val="000000"/>
          <w:sz w:val="28"/>
        </w:rPr>
        <w:t>, y</w:t>
      </w:r>
      <w:r>
        <w:rPr>
          <w:rFonts w:ascii="Times New Roman"/>
          <w:b w:val="false"/>
          <w:i w:val="false"/>
          <w:color w:val="000000"/>
          <w:vertAlign w:val="subscript"/>
        </w:rPr>
        <w:t>2</w:t>
      </w:r>
      <w:r>
        <w:rPr>
          <w:rFonts w:ascii="Times New Roman"/>
          <w:b w:val="false"/>
          <w:i w:val="false"/>
          <w:color w:val="000000"/>
          <w:vertAlign w:val="superscript"/>
        </w:rPr>
        <w:t>ост</w:t>
      </w:r>
      <w:r>
        <w:rPr>
          <w:rFonts w:ascii="Times New Roman"/>
          <w:b w:val="false"/>
          <w:i w:val="false"/>
          <w:color w:val="000000"/>
          <w:sz w:val="28"/>
        </w:rPr>
        <w:t>, …, y</w:t>
      </w:r>
      <w:r>
        <w:rPr>
          <w:rFonts w:ascii="Times New Roman"/>
          <w:b w:val="false"/>
          <w:i w:val="false"/>
          <w:color w:val="000000"/>
          <w:vertAlign w:val="subscript"/>
        </w:rPr>
        <w:t>n</w:t>
      </w:r>
      <w:r>
        <w:rPr>
          <w:rFonts w:ascii="Times New Roman"/>
          <w:b w:val="false"/>
          <w:i w:val="false"/>
          <w:color w:val="000000"/>
          <w:vertAlign w:val="superscript"/>
        </w:rPr>
        <w:t>ост</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=y</w:t>
      </w:r>
      <w:r>
        <w:rPr>
          <w:rFonts w:ascii="Times New Roman"/>
          <w:b w:val="false"/>
          <w:i w:val="false"/>
          <w:color w:val="000000"/>
          <w:vertAlign w:val="subscript"/>
        </w:rPr>
        <w:t>i</w:t>
      </w:r>
      <w:r>
        <w:rPr>
          <w:rFonts w:ascii="Times New Roman"/>
          <w:b w:val="false"/>
          <w:i w:val="false"/>
          <w:color w:val="000000"/>
          <w:vertAlign w:val="superscript"/>
        </w:rPr>
        <w:t>рез</w:t>
      </w:r>
      <w:r>
        <w:rPr>
          <w:rFonts w:ascii="Times New Roman"/>
          <w:b w:val="false"/>
          <w:i w:val="false"/>
          <w:color w:val="000000"/>
          <w:sz w:val="28"/>
        </w:rPr>
        <w:t>+y</w:t>
      </w:r>
      <w:r>
        <w:rPr>
          <w:rFonts w:ascii="Times New Roman"/>
          <w:b w:val="false"/>
          <w:i w:val="false"/>
          <w:color w:val="000000"/>
          <w:vertAlign w:val="subscript"/>
        </w:rPr>
        <w:t>i</w:t>
      </w:r>
      <w:r>
        <w:rPr>
          <w:rFonts w:ascii="Times New Roman"/>
          <w:b w:val="false"/>
          <w:i w:val="false"/>
          <w:color w:val="000000"/>
          <w:vertAlign w:val="superscript"/>
        </w:rPr>
        <w:t>ост</w:t>
      </w:r>
      <w:r>
        <w:rPr>
          <w:rFonts w:ascii="Times New Roman"/>
          <w:b w:val="false"/>
          <w:i w:val="false"/>
          <w:color w:val="000000"/>
          <w:sz w:val="28"/>
        </w:rPr>
        <w:t>      (5);</w:t>
      </w:r>
    </w:p>
    <w:p>
      <w:pPr>
        <w:spacing w:after="0"/>
        <w:ind w:left="0"/>
        <w:jc w:val="both"/>
      </w:pPr>
      <w:r>
        <w:rPr>
          <w:rFonts w:ascii="Times New Roman"/>
          <w:b w:val="false"/>
          <w:i w:val="false"/>
          <w:color w:val="000000"/>
          <w:sz w:val="28"/>
        </w:rPr>
        <w:t>      2) для каждого факторного признака: значение коэффициентов регрессии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 а</w:t>
      </w:r>
      <w:r>
        <w:rPr>
          <w:rFonts w:ascii="Times New Roman"/>
          <w:b w:val="false"/>
          <w:i w:val="false"/>
          <w:color w:val="000000"/>
          <w:vertAlign w:val="subscript"/>
        </w:rPr>
        <w:t>m</w:t>
      </w:r>
      <w:r>
        <w:rPr>
          <w:rFonts w:ascii="Times New Roman"/>
          <w:b w:val="false"/>
          <w:i w:val="false"/>
          <w:color w:val="000000"/>
          <w:sz w:val="28"/>
        </w:rPr>
        <w:t>), стандартные ошибки коэффициентов регрессии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a0</w:t>
      </w:r>
      <w:r>
        <w:rPr>
          <w:rFonts w:ascii="Times New Roman"/>
          <w:b w:val="false"/>
          <w:i w:val="false"/>
          <w:color w:val="000000"/>
          <w:sz w:val="28"/>
        </w:rPr>
        <w:t xml:space="preserve">,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a1</w:t>
      </w:r>
      <w:r>
        <w:rPr>
          <w:rFonts w:ascii="Times New Roman"/>
          <w:b w:val="false"/>
          <w:i w:val="false"/>
          <w:color w:val="000000"/>
          <w:sz w:val="28"/>
        </w:rPr>
        <w:t xml:space="preserve">,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a2</w:t>
      </w:r>
      <w:r>
        <w:rPr>
          <w:rFonts w:ascii="Times New Roman"/>
          <w:b w:val="false"/>
          <w:i w:val="false"/>
          <w:color w:val="000000"/>
          <w:sz w:val="28"/>
        </w:rPr>
        <w:t xml:space="preserve">, …,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39700"/>
                    </a:xfrm>
                    <a:prstGeom prst="rect">
                      <a:avLst/>
                    </a:prstGeom>
                  </pic:spPr>
                </pic:pic>
              </a:graphicData>
            </a:graphic>
          </wp:inline>
        </w:drawing>
      </w:r>
      <w:r>
        <w:rPr>
          <w:rFonts w:ascii="Times New Roman"/>
          <w:b w:val="false"/>
          <w:i w:val="false"/>
          <w:color w:val="000000"/>
          <w:sz w:val="28"/>
        </w:rPr>
        <w:t>am) и Р – значения уровней значимости t-критерия (p</w:t>
      </w:r>
      <w:r>
        <w:rPr>
          <w:rFonts w:ascii="Times New Roman"/>
          <w:b w:val="false"/>
          <w:i w:val="false"/>
          <w:color w:val="000000"/>
          <w:vertAlign w:val="subscript"/>
        </w:rPr>
        <w:t>0</w:t>
      </w: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m</w:t>
      </w:r>
      <w:r>
        <w:rPr>
          <w:rFonts w:ascii="Times New Roman"/>
          <w:b w:val="false"/>
          <w:i w:val="false"/>
          <w:color w:val="000000"/>
          <w:sz w:val="28"/>
        </w:rPr>
        <w:t>), характеризующие значимость коэффициентов регрессии.</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m</w:t>
      </w:r>
      <w:r>
        <w:rPr>
          <w:rFonts w:ascii="Times New Roman"/>
          <w:b w:val="false"/>
          <w:i w:val="false"/>
          <w:color w:val="000000"/>
          <w:sz w:val="28"/>
        </w:rPr>
        <w:t xml:space="preserve"> = Распределение Стьюдента (t</w:t>
      </w:r>
      <w:r>
        <w:rPr>
          <w:rFonts w:ascii="Times New Roman"/>
          <w:b w:val="false"/>
          <w:i w:val="false"/>
          <w:color w:val="000000"/>
          <w:vertAlign w:val="subscript"/>
        </w:rPr>
        <w:t>ai</w:t>
      </w:r>
      <w:r>
        <w:rPr>
          <w:rFonts w:ascii="Times New Roman"/>
          <w:b w:val="false"/>
          <w:i w:val="false"/>
          <w:color w:val="000000"/>
          <w:sz w:val="28"/>
        </w:rPr>
        <w:t>)      (6),</w:t>
      </w:r>
    </w:p>
    <w:p>
      <w:pPr>
        <w:spacing w:after="0"/>
        <w:ind w:left="0"/>
        <w:jc w:val="both"/>
      </w:pPr>
      <w:r>
        <w:rPr>
          <w:rFonts w:ascii="Times New Roman"/>
          <w:b w:val="false"/>
          <w:i w:val="false"/>
          <w:color w:val="000000"/>
          <w:sz w:val="28"/>
        </w:rPr>
        <w:t>      где:</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7400" cy="546100"/>
                    </a:xfrm>
                    <a:prstGeom prst="rect">
                      <a:avLst/>
                    </a:prstGeom>
                  </pic:spPr>
                </pic:pic>
              </a:graphicData>
            </a:graphic>
          </wp:inline>
        </w:drawing>
      </w: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3) показатель R</w:t>
      </w:r>
      <w:r>
        <w:rPr>
          <w:rFonts w:ascii="Times New Roman"/>
          <w:b w:val="false"/>
          <w:i w:val="false"/>
          <w:color w:val="000000"/>
          <w:vertAlign w:val="superscript"/>
        </w:rPr>
        <w:t>2</w:t>
      </w:r>
      <w:r>
        <w:rPr>
          <w:rFonts w:ascii="Times New Roman"/>
          <w:b w:val="false"/>
          <w:i w:val="false"/>
          <w:color w:val="000000"/>
          <w:sz w:val="28"/>
        </w:rPr>
        <w:t>, характеризующий качество (достоверность) регрессии и определяемый по формуле:</w:t>
      </w:r>
    </w:p>
    <w:p>
      <w:pPr>
        <w:spacing w:after="0"/>
        <w:ind w:left="0"/>
        <w:jc w:val="both"/>
      </w:pPr>
      <w:r>
        <w:rPr>
          <w:rFonts w:ascii="Times New Roman"/>
          <w:b w:val="false"/>
          <w:i w:val="false"/>
          <w:color w:val="000000"/>
          <w:sz w:val="28"/>
        </w:rPr>
        <w:t>      </w:t>
      </w:r>
      <w:r>
        <w:drawing>
          <wp:inline distT="0" distB="0" distL="0" distR="0">
            <wp:extent cx="800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0100" cy="660400"/>
                    </a:xfrm>
                    <a:prstGeom prst="rect">
                      <a:avLst/>
                    </a:prstGeom>
                  </pic:spPr>
                </pic:pic>
              </a:graphicData>
            </a:graphic>
          </wp:inline>
        </w:drawing>
      </w:r>
      <w:r>
        <w:rPr>
          <w:rFonts w:ascii="Times New Roman"/>
          <w:b w:val="false"/>
          <w:i w:val="false"/>
          <w:color w:val="000000"/>
          <w:sz w:val="28"/>
        </w:rPr>
        <w:t>      (8),</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39700"/>
                    </a:xfrm>
                    <a:prstGeom prst="rect">
                      <a:avLst/>
                    </a:prstGeom>
                  </pic:spPr>
                </pic:pic>
              </a:graphicData>
            </a:graphic>
          </wp:inline>
        </w:drawing>
      </w:r>
      <w:r>
        <w:rPr>
          <w:rFonts w:ascii="Times New Roman"/>
          <w:b w:val="false"/>
          <w:i w:val="false"/>
          <w:color w:val="000000"/>
          <w:sz w:val="28"/>
        </w:rPr>
        <w:t xml:space="preserve"> – общая дисперсия результативного признака Y, отображающая влияние как основных, так и остаточных факторов, вычисляемая по формуле:</w:t>
      </w:r>
    </w:p>
    <w:p>
      <w:pPr>
        <w:spacing w:after="0"/>
        <w:ind w:left="0"/>
        <w:jc w:val="both"/>
      </w:pPr>
      <w:r>
        <w:rPr>
          <w:rFonts w:ascii="Times New Roman"/>
          <w:b w:val="false"/>
          <w:i w:val="false"/>
          <w:color w:val="000000"/>
          <w:sz w:val="28"/>
        </w:rPr>
        <w:t>      </w:t>
      </w:r>
      <w:r>
        <w:drawing>
          <wp:inline distT="0" distB="0" distL="0" distR="0">
            <wp:extent cx="1701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01800" cy="825500"/>
                    </a:xfrm>
                    <a:prstGeom prst="rect">
                      <a:avLst/>
                    </a:prstGeom>
                  </pic:spPr>
                </pic:pic>
              </a:graphicData>
            </a:graphic>
          </wp:inline>
        </w:drawing>
      </w:r>
      <w:r>
        <w:rPr>
          <w:rFonts w:ascii="Times New Roman"/>
          <w:b w:val="false"/>
          <w:i w:val="false"/>
          <w:color w:val="000000"/>
          <w:sz w:val="28"/>
        </w:rPr>
        <w:t>      (9),</w:t>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у</w:t>
      </w:r>
      <w:r>
        <w:rPr>
          <w:rFonts w:ascii="Times New Roman"/>
          <w:b w:val="false"/>
          <w:i w:val="false"/>
          <w:color w:val="000000"/>
          <w:vertAlign w:val="superscript"/>
        </w:rPr>
        <w:t>ср</w:t>
      </w:r>
      <w:r>
        <w:rPr>
          <w:rFonts w:ascii="Times New Roman"/>
          <w:b w:val="false"/>
          <w:i w:val="false"/>
          <w:color w:val="000000"/>
          <w:sz w:val="28"/>
        </w:rPr>
        <w:t xml:space="preserve"> – среднее значение результативного признака Y:</w:t>
      </w:r>
    </w:p>
    <w:p>
      <w:pPr>
        <w:spacing w:after="0"/>
        <w:ind w:left="0"/>
        <w:jc w:val="both"/>
      </w:pPr>
      <w:r>
        <w:rPr>
          <w:rFonts w:ascii="Times New Roman"/>
          <w:b w:val="false"/>
          <w:i w:val="false"/>
          <w:color w:val="000000"/>
          <w:sz w:val="28"/>
        </w:rPr>
        <w:t>      </w:t>
      </w:r>
      <w:r>
        <w:drawing>
          <wp:inline distT="0" distB="0" distL="0" distR="0">
            <wp:extent cx="1028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28700" cy="7747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ф</w:t>
      </w:r>
      <w:r>
        <w:rPr>
          <w:rFonts w:ascii="Times New Roman"/>
          <w:b w:val="false"/>
          <w:i w:val="false"/>
          <w:color w:val="000000"/>
          <w:sz w:val="28"/>
        </w:rPr>
        <w:t xml:space="preserve"> – факторная дисперсия результативного признака Y, отображающая влияние только основных факторов, вычисляемая по формуле:</w:t>
      </w:r>
    </w:p>
    <w:p>
      <w:pPr>
        <w:spacing w:after="0"/>
        <w:ind w:left="0"/>
        <w:jc w:val="both"/>
      </w:pPr>
      <w:r>
        <w:rPr>
          <w:rFonts w:ascii="Times New Roman"/>
          <w:b w:val="false"/>
          <w:i w:val="false"/>
          <w:color w:val="000000"/>
          <w:sz w:val="28"/>
        </w:rPr>
        <w:t>      </w:t>
      </w:r>
      <w:r>
        <w:drawing>
          <wp:inline distT="0" distB="0" distL="0" distR="0">
            <wp:extent cx="1866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66900" cy="812800"/>
                    </a:xfrm>
                    <a:prstGeom prst="rect">
                      <a:avLst/>
                    </a:prstGeom>
                  </pic:spPr>
                </pic:pic>
              </a:graphicData>
            </a:graphic>
          </wp:inline>
        </w:drawing>
      </w:r>
      <w:r>
        <w:rPr>
          <w:rFonts w:ascii="Times New Roman"/>
          <w:b w:val="false"/>
          <w:i w:val="false"/>
          <w:color w:val="000000"/>
          <w:sz w:val="28"/>
        </w:rPr>
        <w:t>      (10)</w:t>
      </w:r>
    </w:p>
    <w:p>
      <w:pPr>
        <w:spacing w:after="0"/>
        <w:ind w:left="0"/>
        <w:jc w:val="both"/>
      </w:pPr>
      <w:r>
        <w:rPr>
          <w:rFonts w:ascii="Times New Roman"/>
          <w:b w:val="false"/>
          <w:i w:val="false"/>
          <w:color w:val="000000"/>
          <w:sz w:val="28"/>
        </w:rPr>
        <w:t>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о</w:t>
      </w:r>
      <w:r>
        <w:rPr>
          <w:rFonts w:ascii="Times New Roman"/>
          <w:b w:val="false"/>
          <w:i w:val="false"/>
          <w:color w:val="000000"/>
          <w:sz w:val="28"/>
        </w:rPr>
        <w:t xml:space="preserve"> – остаточная дисперсия результативного признака Y, отображающая влияние только остаточных факторов, вычисляемая по формуле:</w:t>
      </w:r>
    </w:p>
    <w:p>
      <w:pPr>
        <w:spacing w:after="0"/>
        <w:ind w:left="0"/>
        <w:jc w:val="both"/>
      </w:pPr>
      <w:r>
        <w:rPr>
          <w:rFonts w:ascii="Times New Roman"/>
          <w:b w:val="false"/>
          <w:i w:val="false"/>
          <w:color w:val="000000"/>
          <w:sz w:val="28"/>
        </w:rPr>
        <w:t>      </w:t>
      </w:r>
      <w:r>
        <w:drawing>
          <wp:inline distT="0" distB="0" distL="0" distR="0">
            <wp:extent cx="1689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89100" cy="825500"/>
                    </a:xfrm>
                    <a:prstGeom prst="rect">
                      <a:avLst/>
                    </a:prstGeom>
                  </pic:spPr>
                </pic:pic>
              </a:graphicData>
            </a:graphic>
          </wp:inline>
        </w:drawing>
      </w:r>
      <w:r>
        <w:rPr>
          <w:rFonts w:ascii="Times New Roman"/>
          <w:b w:val="false"/>
          <w:i w:val="false"/>
          <w:color w:val="000000"/>
          <w:sz w:val="28"/>
        </w:rPr>
        <w:t>      (11);</w:t>
      </w:r>
    </w:p>
    <w:bookmarkStart w:name="z25" w:id="11"/>
    <w:p>
      <w:pPr>
        <w:spacing w:after="0"/>
        <w:ind w:left="0"/>
        <w:jc w:val="both"/>
      </w:pPr>
      <w:r>
        <w:rPr>
          <w:rFonts w:ascii="Times New Roman"/>
          <w:b w:val="false"/>
          <w:i w:val="false"/>
          <w:color w:val="000000"/>
          <w:sz w:val="28"/>
        </w:rPr>
        <w:t>      4) значение уровня Значимости F-критерия Фишера, определяющего адекватность полученного уравнения регрессии, путем проверки статистической значимости R</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xml:space="preserve">
      14. Проверка статистической достоверности уравнения регрессии и значимости коэффициентов уравнения регрессии. </w:t>
      </w:r>
      <w:r>
        <w:br/>
      </w:r>
      <w:r>
        <w:rPr>
          <w:rFonts w:ascii="Times New Roman"/>
          <w:b w:val="false"/>
          <w:i w:val="false"/>
          <w:color w:val="000000"/>
          <w:sz w:val="28"/>
        </w:rPr>
        <w:t>
      1) регрессионная зависимость между результативным признаком Y и установленными факторными признаками X принимается достоверной, если не менее 85% вариации операционных затрат Y объясняется вариацией факторных признаков X. Значение показателя достоверности регрессии – R</w:t>
      </w:r>
      <w:r>
        <w:rPr>
          <w:rFonts w:ascii="Times New Roman"/>
          <w:b w:val="false"/>
          <w:i w:val="false"/>
          <w:color w:val="000000"/>
          <w:vertAlign w:val="superscript"/>
        </w:rPr>
        <w:t>2</w:t>
      </w:r>
      <w:r>
        <w:rPr>
          <w:rFonts w:ascii="Times New Roman"/>
          <w:b w:val="false"/>
          <w:i w:val="false"/>
          <w:color w:val="000000"/>
          <w:sz w:val="28"/>
        </w:rPr>
        <w:t xml:space="preserve"> в соответствии с положениями, принятыми в мировой практике являются не меньше 0,85.</w:t>
      </w:r>
    </w:p>
    <w:bookmarkEnd w:id="11"/>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 xml:space="preserve">2 </w:t>
      </w:r>
      <w:r>
        <w:rPr>
          <w:rFonts w:ascii="Times New Roman"/>
          <w:b w:val="false"/>
          <w:i w:val="false"/>
          <w:color w:val="000000"/>
          <w:sz w:val="28"/>
          <w:u w:val="single"/>
        </w:rPr>
        <w:t>&gt;</w:t>
      </w:r>
      <w:r>
        <w:rPr>
          <w:rFonts w:ascii="Times New Roman"/>
          <w:b w:val="false"/>
          <w:i w:val="false"/>
          <w:color w:val="000000"/>
          <w:sz w:val="28"/>
        </w:rPr>
        <w:t xml:space="preserve"> 0,85      (12);</w:t>
      </w:r>
    </w:p>
    <w:p>
      <w:pPr>
        <w:spacing w:after="0"/>
        <w:ind w:left="0"/>
        <w:jc w:val="both"/>
      </w:pPr>
      <w:r>
        <w:rPr>
          <w:rFonts w:ascii="Times New Roman"/>
          <w:b w:val="false"/>
          <w:i w:val="false"/>
          <w:color w:val="000000"/>
          <w:sz w:val="28"/>
        </w:rPr>
        <w:t>      2) выбор факторных признаков сравнительного анализа X объясняющих уровень предсказанного значения результативного признака Y считается правильным, если Значимость F-критерия не превышает уровень значимости (точности) в 10%.</w:t>
      </w:r>
    </w:p>
    <w:p>
      <w:pPr>
        <w:spacing w:after="0"/>
        <w:ind w:left="0"/>
        <w:jc w:val="both"/>
      </w:pPr>
      <w:r>
        <w:rPr>
          <w:rFonts w:ascii="Times New Roman"/>
          <w:b w:val="false"/>
          <w:i w:val="false"/>
          <w:color w:val="000000"/>
          <w:sz w:val="28"/>
        </w:rPr>
        <w:t>      Значимость F &lt; 0,1      (13)</w:t>
      </w:r>
    </w:p>
    <w:p>
      <w:pPr>
        <w:spacing w:after="0"/>
        <w:ind w:left="0"/>
        <w:jc w:val="both"/>
      </w:pPr>
      <w:r>
        <w:rPr>
          <w:rFonts w:ascii="Times New Roman"/>
          <w:b w:val="false"/>
          <w:i w:val="false"/>
          <w:color w:val="000000"/>
          <w:sz w:val="28"/>
        </w:rPr>
        <w:t>      Значимость F = Pacпределение Фишера (F)      (14)</w:t>
      </w:r>
    </w:p>
    <w:p>
      <w:pPr>
        <w:spacing w:after="0"/>
        <w:ind w:left="0"/>
        <w:jc w:val="both"/>
      </w:pPr>
      <w:r>
        <w:rPr>
          <w:rFonts w:ascii="Times New Roman"/>
          <w:b w:val="false"/>
          <w:i w:val="false"/>
          <w:color w:val="000000"/>
          <w:sz w:val="28"/>
        </w:rPr>
        <w:t xml:space="preserve">      где: </w:t>
      </w:r>
      <w:r>
        <w:drawing>
          <wp:inline distT="0" distB="0" distL="0" distR="0">
            <wp:extent cx="85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50900" cy="622300"/>
                    </a:xfrm>
                    <a:prstGeom prst="rect">
                      <a:avLst/>
                    </a:prstGeom>
                  </pic:spPr>
                </pic:pic>
              </a:graphicData>
            </a:graphic>
          </wp:inline>
        </w:drawing>
      </w:r>
      <w:r>
        <w:rPr>
          <w:rFonts w:ascii="Times New Roman"/>
          <w:b w:val="false"/>
          <w:i w:val="false"/>
          <w:color w:val="000000"/>
          <w:sz w:val="28"/>
        </w:rPr>
        <w:t>      (15);</w:t>
      </w:r>
      <w:r>
        <w:br/>
      </w:r>
      <w:r>
        <w:rPr>
          <w:rFonts w:ascii="Times New Roman"/>
          <w:b w:val="false"/>
          <w:i w:val="false"/>
          <w:color w:val="000000"/>
          <w:sz w:val="28"/>
        </w:rPr>
        <w:t>
      3) коэффициенты регрессии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а</w:t>
      </w:r>
      <w:r>
        <w:rPr>
          <w:rFonts w:ascii="Times New Roman"/>
          <w:b w:val="false"/>
          <w:i w:val="false"/>
          <w:color w:val="000000"/>
          <w:vertAlign w:val="subscript"/>
        </w:rPr>
        <w:t>m</w:t>
      </w:r>
      <w:r>
        <w:rPr>
          <w:rFonts w:ascii="Times New Roman"/>
          <w:b w:val="false"/>
          <w:i w:val="false"/>
          <w:color w:val="000000"/>
          <w:sz w:val="28"/>
        </w:rPr>
        <w:t>, принимаются объективными (значимыми), если:</w:t>
      </w:r>
      <w:r>
        <w:br/>
      </w:r>
      <w:r>
        <w:rPr>
          <w:rFonts w:ascii="Times New Roman"/>
          <w:b w:val="false"/>
          <w:i w:val="false"/>
          <w:color w:val="000000"/>
          <w:sz w:val="28"/>
        </w:rPr>
        <w:t>
      значения стандартных ошибок коэффициентов регрессии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a0</w:t>
      </w:r>
      <w:r>
        <w:rPr>
          <w:rFonts w:ascii="Times New Roman"/>
          <w:b w:val="false"/>
          <w:i w:val="false"/>
          <w:color w:val="000000"/>
          <w:sz w:val="28"/>
        </w:rPr>
        <w:t xml:space="preserve">,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a1</w:t>
      </w:r>
      <w:r>
        <w:rPr>
          <w:rFonts w:ascii="Times New Roman"/>
          <w:b w:val="false"/>
          <w:i w:val="false"/>
          <w:color w:val="000000"/>
          <w:sz w:val="28"/>
        </w:rPr>
        <w:t xml:space="preserve">,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a2</w:t>
      </w:r>
      <w:r>
        <w:rPr>
          <w:rFonts w:ascii="Times New Roman"/>
          <w:b w:val="false"/>
          <w:i w:val="false"/>
          <w:color w:val="000000"/>
          <w:sz w:val="28"/>
        </w:rPr>
        <w:t xml:space="preserve">, …,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am</w:t>
      </w:r>
      <w:r>
        <w:rPr>
          <w:rFonts w:ascii="Times New Roman"/>
          <w:b w:val="false"/>
          <w:i w:val="false"/>
          <w:color w:val="000000"/>
          <w:sz w:val="28"/>
        </w:rPr>
        <w:t>) меньше соответствующих значений самих коэффициентов регрессии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а</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a0</w:t>
      </w:r>
      <w:r>
        <w:rPr>
          <w:rFonts w:ascii="Times New Roman"/>
          <w:b w:val="false"/>
          <w:i w:val="false"/>
          <w:color w:val="000000"/>
          <w:sz w:val="28"/>
        </w:rPr>
        <w:t xml:space="preserve">,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a1</w:t>
      </w:r>
      <w:r>
        <w:rPr>
          <w:rFonts w:ascii="Times New Roman"/>
          <w:b w:val="false"/>
          <w:i w:val="false"/>
          <w:color w:val="000000"/>
          <w:sz w:val="28"/>
        </w:rPr>
        <w:t xml:space="preserve">,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a2</w:t>
      </w:r>
      <w:r>
        <w:rPr>
          <w:rFonts w:ascii="Times New Roman"/>
          <w:b w:val="false"/>
          <w:i w:val="false"/>
          <w:color w:val="000000"/>
          <w:sz w:val="28"/>
        </w:rPr>
        <w:t xml:space="preserve">, …, </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39700"/>
                    </a:xfrm>
                    <a:prstGeom prst="rect">
                      <a:avLst/>
                    </a:prstGeom>
                  </pic:spPr>
                </pic:pic>
              </a:graphicData>
            </a:graphic>
          </wp:inline>
        </w:drawing>
      </w:r>
      <w:r>
        <w:rPr>
          <w:rFonts w:ascii="Times New Roman"/>
          <w:b w:val="false"/>
          <w:i w:val="false"/>
          <w:color w:val="000000"/>
          <w:vertAlign w:val="subscript"/>
        </w:rPr>
        <w:t>am</w:t>
      </w:r>
      <w:r>
        <w:rPr>
          <w:rFonts w:ascii="Times New Roman"/>
          <w:b w:val="false"/>
          <w:i w:val="false"/>
          <w:color w:val="000000"/>
          <w:sz w:val="28"/>
        </w:rPr>
        <w:t xml:space="preserve"> &lt;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а</w:t>
      </w:r>
      <w:r>
        <w:rPr>
          <w:rFonts w:ascii="Times New Roman"/>
          <w:b w:val="false"/>
          <w:i w:val="false"/>
          <w:color w:val="000000"/>
          <w:sz w:val="28"/>
        </w:rPr>
        <w:t>m</w:t>
      </w:r>
      <w:r>
        <w:rPr>
          <w:rFonts w:ascii="Times New Roman"/>
          <w:b w:val="false"/>
          <w:i w:val="false"/>
          <w:color w:val="000000"/>
          <w:sz w:val="28"/>
        </w:rPr>
        <w:t xml:space="preserve"> (16)</w:t>
      </w:r>
      <w:r>
        <w:br/>
      </w:r>
      <w:r>
        <w:rPr>
          <w:rFonts w:ascii="Times New Roman"/>
          <w:b w:val="false"/>
          <w:i w:val="false"/>
          <w:color w:val="000000"/>
          <w:sz w:val="28"/>
        </w:rPr>
        <w:t>
      Р-значения уровней значимости t-критерия (р</w:t>
      </w:r>
      <w:r>
        <w:rPr>
          <w:rFonts w:ascii="Times New Roman"/>
          <w:b w:val="false"/>
          <w:i w:val="false"/>
          <w:color w:val="000000"/>
          <w:vertAlign w:val="subscript"/>
        </w:rPr>
        <w:t>0</w:t>
      </w: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m</w:t>
      </w:r>
      <w:r>
        <w:rPr>
          <w:rFonts w:ascii="Times New Roman"/>
          <w:b w:val="false"/>
          <w:i w:val="false"/>
          <w:color w:val="000000"/>
          <w:sz w:val="28"/>
        </w:rPr>
        <w:t>) меньше уровня значимости в 20%</w:t>
      </w:r>
    </w:p>
    <w:bookmarkStart w:name="z24" w:id="1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m</w:t>
      </w:r>
      <w:r>
        <w:rPr>
          <w:rFonts w:ascii="Times New Roman"/>
          <w:b w:val="false"/>
          <w:i w:val="false"/>
          <w:color w:val="000000"/>
          <w:sz w:val="28"/>
        </w:rPr>
        <w:t xml:space="preserve"> &lt; 0,2      (17).</w:t>
      </w:r>
      <w:r>
        <w:br/>
      </w:r>
      <w:r>
        <w:rPr>
          <w:rFonts w:ascii="Times New Roman"/>
          <w:b w:val="false"/>
          <w:i w:val="false"/>
          <w:color w:val="000000"/>
          <w:sz w:val="28"/>
        </w:rPr>
        <w:t xml:space="preserve">
      15. Если совокупность факторных признаков X не позволяет получить статистически значимую регрессионную модель, формируется несколько регрессионных моделей с различным набором факторных признаков по отношению к результативному признаку. </w:t>
      </w:r>
      <w:r>
        <w:br/>
      </w:r>
      <w:r>
        <w:rPr>
          <w:rFonts w:ascii="Times New Roman"/>
          <w:b w:val="false"/>
          <w:i w:val="false"/>
          <w:color w:val="000000"/>
          <w:sz w:val="28"/>
        </w:rPr>
        <w:t>
</w:t>
      </w:r>
      <w:r>
        <w:rPr>
          <w:rFonts w:ascii="Times New Roman"/>
          <w:b w:val="false"/>
          <w:i w:val="false"/>
          <w:color w:val="000000"/>
          <w:sz w:val="28"/>
        </w:rPr>
        <w:t>
      16. Для расчета тарифов ежегодно определяется стимулирующее воздействие (далее – коэффициент Х-фактора) которое составляет 20% от соотношения значений предсказанного результативного признака, полученного путем построения регрессионной модели к значению остатка результативного признака каждой сетевой компании в группе с учетом полученных коэффициентов достоверности R</w:t>
      </w:r>
      <w:r>
        <w:rPr>
          <w:rFonts w:ascii="Times New Roman"/>
          <w:b w:val="false"/>
          <w:i w:val="false"/>
          <w:color w:val="000000"/>
          <w:vertAlign w:val="superscript"/>
        </w:rPr>
        <w:t>2</w:t>
      </w: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w:t>
      </w:r>
      <w:r>
        <w:drawing>
          <wp:inline distT="0" distB="0" distL="0" distR="0">
            <wp:extent cx="1600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00200" cy="571500"/>
                    </a:xfrm>
                    <a:prstGeom prst="rect">
                      <a:avLst/>
                    </a:prstGeom>
                  </pic:spPr>
                </pic:pic>
              </a:graphicData>
            </a:graphic>
          </wp:inline>
        </w:drawing>
      </w:r>
      <w:r>
        <w:rPr>
          <w:rFonts w:ascii="Times New Roman"/>
          <w:b w:val="false"/>
          <w:i w:val="false"/>
          <w:color w:val="000000"/>
          <w:sz w:val="28"/>
        </w:rPr>
        <w:t>      (18),</w:t>
      </w:r>
    </w:p>
    <w:bookmarkStart w:name="z27" w:id="1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vertAlign w:val="superscript"/>
        </w:rPr>
        <w:t>рез</w:t>
      </w:r>
      <w:r>
        <w:rPr>
          <w:rFonts w:ascii="Times New Roman"/>
          <w:b w:val="false"/>
          <w:i w:val="false"/>
          <w:color w:val="000000"/>
          <w:sz w:val="28"/>
        </w:rPr>
        <w:t xml:space="preserve"> – значения предсказанного результативного признака, соответствующего регрессионной зависимости между результативным признаком Y и факторными признаками сравнительного анализа X;</w:t>
      </w:r>
      <w:r>
        <w:br/>
      </w:r>
      <w:r>
        <w:rPr>
          <w:rFonts w:ascii="Times New Roman"/>
          <w:b w:val="false"/>
          <w:i w:val="false"/>
          <w:color w:val="000000"/>
          <w:sz w:val="28"/>
        </w:rPr>
        <w:t>
      у</w:t>
      </w:r>
      <w:r>
        <w:rPr>
          <w:rFonts w:ascii="Times New Roman"/>
          <w:b w:val="false"/>
          <w:i w:val="false"/>
          <w:color w:val="000000"/>
          <w:vertAlign w:val="subscript"/>
        </w:rPr>
        <w:t>i</w:t>
      </w:r>
      <w:r>
        <w:rPr>
          <w:rFonts w:ascii="Times New Roman"/>
          <w:b w:val="false"/>
          <w:i w:val="false"/>
          <w:color w:val="000000"/>
          <w:vertAlign w:val="superscript"/>
        </w:rPr>
        <w:t>ост</w:t>
      </w:r>
      <w:r>
        <w:rPr>
          <w:rFonts w:ascii="Times New Roman"/>
          <w:b w:val="false"/>
          <w:i w:val="false"/>
          <w:color w:val="000000"/>
          <w:sz w:val="28"/>
        </w:rPr>
        <w:t xml:space="preserve"> – значения остатка результативного признака i-ой региональных электросетевых компаний группы;</w:t>
      </w:r>
      <w:r>
        <w:br/>
      </w:r>
      <w:r>
        <w:rPr>
          <w:rFonts w:ascii="Times New Roman"/>
          <w:b w:val="false"/>
          <w:i w:val="false"/>
          <w:color w:val="000000"/>
          <w:sz w:val="28"/>
        </w:rPr>
        <w:t>
      i = 1, 2, …, n – количество региональных электросетевых компаний в группе;</w:t>
      </w:r>
      <w:r>
        <w:br/>
      </w:r>
      <w:r>
        <w:rPr>
          <w:rFonts w:ascii="Times New Roman"/>
          <w:b w:val="false"/>
          <w:i w:val="false"/>
          <w:color w:val="000000"/>
          <w:sz w:val="28"/>
        </w:rPr>
        <w:t>
      0,85 &lt; R</w:t>
      </w:r>
      <w:r>
        <w:rPr>
          <w:rFonts w:ascii="Times New Roman"/>
          <w:b w:val="false"/>
          <w:i w:val="false"/>
          <w:color w:val="000000"/>
          <w:vertAlign w:val="superscript"/>
        </w:rPr>
        <w:t>2</w:t>
      </w:r>
      <w:r>
        <w:rPr>
          <w:rFonts w:ascii="Times New Roman"/>
          <w:b w:val="false"/>
          <w:i w:val="false"/>
          <w:color w:val="000000"/>
          <w:sz w:val="28"/>
        </w:rPr>
        <w:t xml:space="preserve"> &lt; 1 – показатель достоверности регрессионного анализа в группе.</w:t>
      </w:r>
      <w:r>
        <w:br/>
      </w:r>
      <w:r>
        <w:rPr>
          <w:rFonts w:ascii="Times New Roman"/>
          <w:b w:val="false"/>
          <w:i w:val="false"/>
          <w:color w:val="000000"/>
          <w:sz w:val="28"/>
        </w:rPr>
        <w:t xml:space="preserve">
      17. В случае построения нескольких регрессионных моделей результирующий Х-фактор определяется как среднее значение Х-факторов, полученных в каждой модели. </w:t>
      </w:r>
    </w:p>
    <w:bookmarkEnd w:id="13"/>
    <w:p>
      <w:pPr>
        <w:spacing w:after="0"/>
        <w:ind w:left="0"/>
        <w:jc w:val="both"/>
      </w:pPr>
      <w:r>
        <w:rPr>
          <w:rFonts w:ascii="Times New Roman"/>
          <w:b w:val="false"/>
          <w:i w:val="false"/>
          <w:color w:val="000000"/>
          <w:sz w:val="28"/>
        </w:rPr>
        <w:t>      </w:t>
      </w:r>
      <w:r>
        <w:drawing>
          <wp:inline distT="0" distB="0" distL="0" distR="0">
            <wp:extent cx="180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803400" cy="584200"/>
                    </a:xfrm>
                    <a:prstGeom prst="rect">
                      <a:avLst/>
                    </a:prstGeom>
                  </pic:spPr>
                </pic:pic>
              </a:graphicData>
            </a:graphic>
          </wp:inline>
        </w:drawing>
      </w:r>
      <w:r>
        <w:rPr>
          <w:rFonts w:ascii="Times New Roman"/>
          <w:b w:val="false"/>
          <w:i w:val="false"/>
          <w:color w:val="000000"/>
          <w:sz w:val="28"/>
        </w:rPr>
        <w:t>      (19),</w:t>
      </w:r>
    </w:p>
    <w:bookmarkStart w:name="z28" w:id="1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k</w:t>
      </w:r>
      <w:r>
        <w:rPr>
          <w:rFonts w:ascii="Times New Roman"/>
          <w:b w:val="false"/>
          <w:i w:val="false"/>
          <w:color w:val="000000"/>
          <w:vertAlign w:val="subscript"/>
        </w:rPr>
        <w:t>ij</w:t>
      </w:r>
      <w:r>
        <w:rPr>
          <w:rFonts w:ascii="Times New Roman"/>
          <w:b w:val="false"/>
          <w:i w:val="false"/>
          <w:color w:val="000000"/>
          <w:vertAlign w:val="superscript"/>
        </w:rPr>
        <w:t>x</w:t>
      </w:r>
      <w:r>
        <w:rPr>
          <w:rFonts w:ascii="Times New Roman"/>
          <w:b w:val="false"/>
          <w:i w:val="false"/>
          <w:color w:val="000000"/>
          <w:sz w:val="28"/>
        </w:rPr>
        <w:t xml:space="preserve"> – коэффициент Х-фактора i-ой региональных электросетевых компаний в j-той модели;</w:t>
      </w:r>
      <w:r>
        <w:br/>
      </w:r>
      <w:r>
        <w:rPr>
          <w:rFonts w:ascii="Times New Roman"/>
          <w:b w:val="false"/>
          <w:i w:val="false"/>
          <w:color w:val="000000"/>
          <w:sz w:val="28"/>
        </w:rPr>
        <w:t>
      j - число построенных моделей в группе.</w:t>
      </w:r>
      <w:r>
        <w:br/>
      </w:r>
      <w:r>
        <w:rPr>
          <w:rFonts w:ascii="Times New Roman"/>
          <w:b w:val="false"/>
          <w:i w:val="false"/>
          <w:color w:val="000000"/>
          <w:sz w:val="28"/>
        </w:rPr>
        <w:t xml:space="preserve">
      18. Итоговые показатели результативного признака (уровень стимулирующего воздействия коэффициент Х-фактора) опубликовываются уполномоченным органом на его официальном интернет-ресурсе до 1 декабря текущего года. </w:t>
      </w:r>
    </w:p>
    <w:bookmarkEnd w:id="14"/>
    <w:bookmarkStart w:name="z29" w:id="15"/>
    <w:p>
      <w:pPr>
        <w:spacing w:after="0"/>
        <w:ind w:left="0"/>
        <w:jc w:val="left"/>
      </w:pPr>
      <w:r>
        <w:rPr>
          <w:rFonts w:ascii="Times New Roman"/>
          <w:b/>
          <w:i w:val="false"/>
          <w:color w:val="000000"/>
        </w:rPr>
        <w:t xml:space="preserve"> 
4. Расчет тарифов с применением метода сравнительного анализа</w:t>
      </w:r>
    </w:p>
    <w:bookmarkEnd w:id="15"/>
    <w:bookmarkStart w:name="z30" w:id="16"/>
    <w:p>
      <w:pPr>
        <w:spacing w:after="0"/>
        <w:ind w:left="0"/>
        <w:jc w:val="both"/>
      </w:pPr>
      <w:r>
        <w:rPr>
          <w:rFonts w:ascii="Times New Roman"/>
          <w:b w:val="false"/>
          <w:i w:val="false"/>
          <w:color w:val="000000"/>
          <w:sz w:val="28"/>
        </w:rPr>
        <w:t xml:space="preserve">
      19. Тариф с применением метода сравнительного анализа утверждается для каждой региональной электросетевой компании на пять и более лет с разбивкой по годам и ежегодно корректируется с учетом эффективности ее деятельности. </w:t>
      </w:r>
      <w:r>
        <w:br/>
      </w:r>
      <w:r>
        <w:rPr>
          <w:rFonts w:ascii="Times New Roman"/>
          <w:b w:val="false"/>
          <w:i w:val="false"/>
          <w:color w:val="000000"/>
          <w:sz w:val="28"/>
        </w:rPr>
        <w:t>
</w:t>
      </w:r>
      <w:r>
        <w:rPr>
          <w:rFonts w:ascii="Times New Roman"/>
          <w:b w:val="false"/>
          <w:i w:val="false"/>
          <w:color w:val="000000"/>
          <w:sz w:val="28"/>
        </w:rPr>
        <w:t xml:space="preserve">
      20. Тариф на услуги по передаче и распределению электрической энергии по сетям региональных электросетевых компаний на первый год определяется по формуле: </w:t>
      </w:r>
    </w:p>
    <w:bookmarkEnd w:id="16"/>
    <w:p>
      <w:pPr>
        <w:spacing w:after="0"/>
        <w:ind w:left="0"/>
        <w:jc w:val="both"/>
      </w:pPr>
      <w:r>
        <w:rPr>
          <w:rFonts w:ascii="Times New Roman"/>
          <w:b w:val="false"/>
          <w:i w:val="false"/>
          <w:color w:val="000000"/>
          <w:sz w:val="28"/>
        </w:rPr>
        <w:t>      </w:t>
      </w:r>
      <w:r>
        <w:drawing>
          <wp:inline distT="0" distB="0" distL="0" distR="0">
            <wp:extent cx="3644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44900" cy="723900"/>
                    </a:xfrm>
                    <a:prstGeom prst="rect">
                      <a:avLst/>
                    </a:prstGeom>
                  </pic:spPr>
                </pic:pic>
              </a:graphicData>
            </a:graphic>
          </wp:inline>
        </w:drawing>
      </w:r>
      <w:r>
        <w:rPr>
          <w:rFonts w:ascii="Times New Roman"/>
          <w:b w:val="false"/>
          <w:i w:val="false"/>
          <w:color w:val="000000"/>
          <w:sz w:val="28"/>
        </w:rPr>
        <w:t>      (20),</w:t>
      </w:r>
    </w:p>
    <w:bookmarkStart w:name="z32" w:id="1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y – затраты региональных электросетевых компаний на оказание услуг по передаче и распределению электрической энергии (за вычетом неконтролируемых затрат и амортизации), принятые в утвержденном тарифе в расчете на календарный год;</w:t>
      </w:r>
      <w:r>
        <w:br/>
      </w:r>
      <w:r>
        <w:rPr>
          <w:rFonts w:ascii="Times New Roman"/>
          <w:b w:val="false"/>
          <w:i w:val="false"/>
          <w:color w:val="000000"/>
          <w:sz w:val="28"/>
        </w:rPr>
        <w:t>
      k</w:t>
      </w:r>
      <w:r>
        <w:rPr>
          <w:rFonts w:ascii="Times New Roman"/>
          <w:b w:val="false"/>
          <w:i w:val="false"/>
          <w:color w:val="000000"/>
          <w:vertAlign w:val="superscript"/>
        </w:rPr>
        <w:t>х</w:t>
      </w:r>
      <w:r>
        <w:rPr>
          <w:rFonts w:ascii="Times New Roman"/>
          <w:b w:val="false"/>
          <w:i w:val="false"/>
          <w:color w:val="000000"/>
          <w:sz w:val="28"/>
        </w:rPr>
        <w:t xml:space="preserve"> – коэффициент Х-фактора;</w:t>
      </w:r>
      <w:r>
        <w:br/>
      </w:r>
      <w:r>
        <w:rPr>
          <w:rFonts w:ascii="Times New Roman"/>
          <w:b w:val="false"/>
          <w:i w:val="false"/>
          <w:color w:val="000000"/>
          <w:sz w:val="28"/>
        </w:rPr>
        <w:t>
      k</w:t>
      </w:r>
      <w:r>
        <w:rPr>
          <w:rFonts w:ascii="Times New Roman"/>
          <w:b w:val="false"/>
          <w:i w:val="false"/>
          <w:color w:val="000000"/>
          <w:vertAlign w:val="subscript"/>
        </w:rPr>
        <w:t>отр</w:t>
      </w:r>
      <w:r>
        <w:rPr>
          <w:rFonts w:ascii="Times New Roman"/>
          <w:b w:val="false"/>
          <w:i w:val="false"/>
          <w:color w:val="000000"/>
          <w:sz w:val="28"/>
        </w:rPr>
        <w:t xml:space="preserve"> – прогнозируемый индекс потребительских цен, предусмотренный прогнозами социально-экономического развития Республики Казахстан на соответствующий год;</w:t>
      </w:r>
      <w:r>
        <w:br/>
      </w:r>
      <w:r>
        <w:rPr>
          <w:rFonts w:ascii="Times New Roman"/>
          <w:b w:val="false"/>
          <w:i w:val="false"/>
          <w:color w:val="000000"/>
          <w:sz w:val="28"/>
        </w:rPr>
        <w:t>
      А</w:t>
      </w:r>
      <w:r>
        <w:rPr>
          <w:rFonts w:ascii="Times New Roman"/>
          <w:b w:val="false"/>
          <w:i w:val="false"/>
          <w:color w:val="000000"/>
          <w:vertAlign w:val="subscript"/>
        </w:rPr>
        <w:t>бг</w:t>
      </w:r>
      <w:r>
        <w:rPr>
          <w:rFonts w:ascii="Times New Roman"/>
          <w:b w:val="false"/>
          <w:i w:val="false"/>
          <w:color w:val="000000"/>
          <w:sz w:val="28"/>
        </w:rPr>
        <w:t xml:space="preserve"> – планируемые амортизационные отчисления основных средств и нематериальных активов на первый год;</w:t>
      </w:r>
      <w:r>
        <w:br/>
      </w:r>
      <w:r>
        <w:rPr>
          <w:rFonts w:ascii="Times New Roman"/>
          <w:b w:val="false"/>
          <w:i w:val="false"/>
          <w:color w:val="000000"/>
          <w:sz w:val="28"/>
        </w:rPr>
        <w:t>
      Рбг – уровень прибыли на регулируемую базу задействованных активов региональных электросетевых компаний на первый год;</w:t>
      </w:r>
      <w:r>
        <w:br/>
      </w:r>
      <w:r>
        <w:rPr>
          <w:rFonts w:ascii="Times New Roman"/>
          <w:b w:val="false"/>
          <w:i w:val="false"/>
          <w:color w:val="000000"/>
          <w:sz w:val="28"/>
        </w:rPr>
        <w:t>
      у</w:t>
      </w:r>
      <w:r>
        <w:rPr>
          <w:rFonts w:ascii="Times New Roman"/>
          <w:b w:val="false"/>
          <w:i w:val="false"/>
          <w:color w:val="000000"/>
          <w:vertAlign w:val="subscript"/>
        </w:rPr>
        <w:t>некон</w:t>
      </w:r>
      <w:r>
        <w:rPr>
          <w:rFonts w:ascii="Times New Roman"/>
          <w:b w:val="false"/>
          <w:i w:val="false"/>
          <w:color w:val="000000"/>
          <w:sz w:val="28"/>
        </w:rPr>
        <w:t xml:space="preserve"> – планируемые неконтролируемые затраты на первый год;</w:t>
      </w:r>
      <w:r>
        <w:br/>
      </w:r>
      <w:r>
        <w:rPr>
          <w:rFonts w:ascii="Times New Roman"/>
          <w:b w:val="false"/>
          <w:i w:val="false"/>
          <w:color w:val="000000"/>
          <w:sz w:val="28"/>
        </w:rPr>
        <w:t>
      W</w:t>
      </w:r>
      <w:r>
        <w:rPr>
          <w:rFonts w:ascii="Times New Roman"/>
          <w:b w:val="false"/>
          <w:i w:val="false"/>
          <w:color w:val="000000"/>
          <w:vertAlign w:val="subscript"/>
        </w:rPr>
        <w:t>бг</w:t>
      </w:r>
      <w:r>
        <w:rPr>
          <w:rFonts w:ascii="Times New Roman"/>
          <w:b w:val="false"/>
          <w:i w:val="false"/>
          <w:color w:val="000000"/>
          <w:sz w:val="28"/>
        </w:rPr>
        <w:t xml:space="preserve"> – планируемый объем передачи электрической энергии по сетям региональных электросетевых компаний на первый год.</w:t>
      </w:r>
      <w:r>
        <w:br/>
      </w:r>
      <w:r>
        <w:rPr>
          <w:rFonts w:ascii="Times New Roman"/>
          <w:b w:val="false"/>
          <w:i w:val="false"/>
          <w:color w:val="000000"/>
          <w:sz w:val="28"/>
        </w:rPr>
        <w:t xml:space="preserve">
      21. Тариф на услуги по передаче и распределению электрической энергии по сетям региональных электросетевых компаний на каждый последующий год определяется по формуле: </w:t>
      </w:r>
    </w:p>
    <w:bookmarkEnd w:id="17"/>
    <w:p>
      <w:pPr>
        <w:spacing w:after="0"/>
        <w:ind w:left="0"/>
        <w:jc w:val="both"/>
      </w:pPr>
      <w:r>
        <w:rPr>
          <w:rFonts w:ascii="Times New Roman"/>
          <w:b w:val="false"/>
          <w:i w:val="false"/>
          <w:color w:val="000000"/>
          <w:sz w:val="28"/>
        </w:rPr>
        <w:t>      </w:t>
      </w:r>
      <w:r>
        <w:drawing>
          <wp:inline distT="0" distB="0" distL="0" distR="0">
            <wp:extent cx="3810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810000" cy="762000"/>
                    </a:xfrm>
                    <a:prstGeom prst="rect">
                      <a:avLst/>
                    </a:prstGeom>
                  </pic:spPr>
                </pic:pic>
              </a:graphicData>
            </a:graphic>
          </wp:inline>
        </w:drawing>
      </w:r>
      <w:r>
        <w:rPr>
          <w:rFonts w:ascii="Times New Roman"/>
          <w:b w:val="false"/>
          <w:i w:val="false"/>
          <w:color w:val="000000"/>
          <w:sz w:val="28"/>
        </w:rPr>
        <w:t>      (21),</w:t>
      </w:r>
    </w:p>
    <w:bookmarkStart w:name="z33" w:id="1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у – фактические затраты региональных электросетевых компаний на оказание услуг по передаче и распределению электрической энергии (за вычетом неконтролируемых затрат и амортизации) за предшествующий год;</w:t>
      </w:r>
      <w:r>
        <w:br/>
      </w:r>
      <w:r>
        <w:rPr>
          <w:rFonts w:ascii="Times New Roman"/>
          <w:b w:val="false"/>
          <w:i w:val="false"/>
          <w:color w:val="000000"/>
          <w:sz w:val="28"/>
        </w:rPr>
        <w:t>
      k</w:t>
      </w:r>
      <w:r>
        <w:rPr>
          <w:rFonts w:ascii="Times New Roman"/>
          <w:b w:val="false"/>
          <w:i w:val="false"/>
          <w:color w:val="000000"/>
          <w:vertAlign w:val="subscript"/>
        </w:rPr>
        <w:t>х</w:t>
      </w:r>
      <w:r>
        <w:rPr>
          <w:rFonts w:ascii="Times New Roman"/>
          <w:b w:val="false"/>
          <w:i w:val="false"/>
          <w:color w:val="000000"/>
          <w:sz w:val="28"/>
        </w:rPr>
        <w:t xml:space="preserve"> – коэффициент Х-фактора;</w:t>
      </w:r>
      <w:r>
        <w:br/>
      </w:r>
      <w:r>
        <w:rPr>
          <w:rFonts w:ascii="Times New Roman"/>
          <w:b w:val="false"/>
          <w:i w:val="false"/>
          <w:color w:val="000000"/>
          <w:sz w:val="28"/>
        </w:rPr>
        <w:t>
      A</w:t>
      </w:r>
      <w:r>
        <w:rPr>
          <w:rFonts w:ascii="Times New Roman"/>
          <w:b w:val="false"/>
          <w:i w:val="false"/>
          <w:color w:val="000000"/>
          <w:vertAlign w:val="subscript"/>
        </w:rPr>
        <w:t>тг</w:t>
      </w:r>
      <w:r>
        <w:rPr>
          <w:rFonts w:ascii="Times New Roman"/>
          <w:b w:val="false"/>
          <w:i w:val="false"/>
          <w:color w:val="000000"/>
          <w:sz w:val="28"/>
        </w:rPr>
        <w:t xml:space="preserve"> – планируемые амортизационные отчисления основных средств и нематериальных активов на соответствующий год, на который определяется тариф;</w:t>
      </w:r>
      <w:r>
        <w:br/>
      </w:r>
      <w:r>
        <w:rPr>
          <w:rFonts w:ascii="Times New Roman"/>
          <w:b w:val="false"/>
          <w:i w:val="false"/>
          <w:color w:val="000000"/>
          <w:sz w:val="28"/>
        </w:rPr>
        <w:t>
      Ртг – уровень прибыли на регулируемую базу задействованных активов региональных электросетевых компаний на соответствующий год, на который определяется тариф;</w:t>
      </w:r>
      <w:r>
        <w:br/>
      </w:r>
      <w:r>
        <w:rPr>
          <w:rFonts w:ascii="Times New Roman"/>
          <w:b w:val="false"/>
          <w:i w:val="false"/>
          <w:color w:val="000000"/>
          <w:sz w:val="28"/>
        </w:rPr>
        <w:t>
      у</w:t>
      </w:r>
      <w:r>
        <w:rPr>
          <w:rFonts w:ascii="Times New Roman"/>
          <w:b w:val="false"/>
          <w:i w:val="false"/>
          <w:color w:val="000000"/>
          <w:vertAlign w:val="subscript"/>
        </w:rPr>
        <w:t>некон</w:t>
      </w:r>
      <w:r>
        <w:rPr>
          <w:rFonts w:ascii="Times New Roman"/>
          <w:b w:val="false"/>
          <w:i w:val="false"/>
          <w:color w:val="000000"/>
          <w:sz w:val="28"/>
        </w:rPr>
        <w:t xml:space="preserve"> – планируемые неконтролируемые затраты на соответствующий год, на который определяется тариф;</w:t>
      </w:r>
      <w:r>
        <w:br/>
      </w:r>
      <w:r>
        <w:rPr>
          <w:rFonts w:ascii="Times New Roman"/>
          <w:b w:val="false"/>
          <w:i w:val="false"/>
          <w:color w:val="000000"/>
          <w:sz w:val="28"/>
        </w:rPr>
        <w:t>
      W</w:t>
      </w:r>
      <w:r>
        <w:rPr>
          <w:rFonts w:ascii="Times New Roman"/>
          <w:b w:val="false"/>
          <w:i w:val="false"/>
          <w:color w:val="000000"/>
          <w:vertAlign w:val="subscript"/>
        </w:rPr>
        <w:t>птг</w:t>
      </w:r>
      <w:r>
        <w:rPr>
          <w:rFonts w:ascii="Times New Roman"/>
          <w:b w:val="false"/>
          <w:i w:val="false"/>
          <w:color w:val="000000"/>
          <w:sz w:val="28"/>
        </w:rPr>
        <w:t xml:space="preserve"> – планируемый объем передачи электрической энергии по сетям региональных электросетевых компаний на соответствующий год, на который определяется тариф;</w:t>
      </w:r>
      <w:r>
        <w:br/>
      </w:r>
      <w:r>
        <w:rPr>
          <w:rFonts w:ascii="Times New Roman"/>
          <w:b w:val="false"/>
          <w:i w:val="false"/>
          <w:color w:val="000000"/>
          <w:sz w:val="28"/>
        </w:rPr>
        <w:t>
      k</w:t>
      </w:r>
      <w:r>
        <w:rPr>
          <w:rFonts w:ascii="Times New Roman"/>
          <w:b w:val="false"/>
          <w:i w:val="false"/>
          <w:color w:val="000000"/>
          <w:vertAlign w:val="subscript"/>
        </w:rPr>
        <w:t>отр</w:t>
      </w:r>
      <w:r>
        <w:rPr>
          <w:rFonts w:ascii="Times New Roman"/>
          <w:b w:val="false"/>
          <w:i w:val="false"/>
          <w:color w:val="000000"/>
          <w:sz w:val="28"/>
        </w:rPr>
        <w:t xml:space="preserve"> – прогнозируемый индекс потребительских цен, предусмотренный </w:t>
      </w:r>
      <w:r>
        <w:rPr>
          <w:rFonts w:ascii="Times New Roman"/>
          <w:b w:val="false"/>
          <w:i w:val="false"/>
          <w:color w:val="000000"/>
          <w:sz w:val="28"/>
        </w:rPr>
        <w:t>прогнозами</w:t>
      </w:r>
      <w:r>
        <w:rPr>
          <w:rFonts w:ascii="Times New Roman"/>
          <w:b w:val="false"/>
          <w:i w:val="false"/>
          <w:color w:val="000000"/>
          <w:sz w:val="28"/>
        </w:rPr>
        <w:t xml:space="preserve"> социально-экономического развития Республики Казахстан на соответствующий год.</w:t>
      </w:r>
      <w:r>
        <w:br/>
      </w:r>
      <w:r>
        <w:rPr>
          <w:rFonts w:ascii="Times New Roman"/>
          <w:b w:val="false"/>
          <w:i w:val="false"/>
          <w:color w:val="000000"/>
          <w:sz w:val="28"/>
        </w:rPr>
        <w:t>
</w:t>
      </w:r>
      <w:r>
        <w:rPr>
          <w:rFonts w:ascii="Times New Roman"/>
          <w:b w:val="false"/>
          <w:i w:val="false"/>
          <w:color w:val="000000"/>
          <w:sz w:val="28"/>
        </w:rPr>
        <w:t xml:space="preserve">
      22. Планируемый объем передачи электрической энергии по сетям региональных электросетевых компаний определяется на основании представленных региональными электросетевыми компаниями копии протоколов намерений и договоров с потребителями на электронном и бумажном носителях. </w:t>
      </w:r>
      <w:r>
        <w:br/>
      </w:r>
      <w:r>
        <w:rPr>
          <w:rFonts w:ascii="Times New Roman"/>
          <w:b w:val="false"/>
          <w:i w:val="false"/>
          <w:color w:val="000000"/>
          <w:sz w:val="28"/>
        </w:rPr>
        <w:t>
      С целью исключения влияния сезонных колебаний объемов на тарифы в обоснование принимаются данные в расчете на год за исключением случаев, когда такой расчет нецелесообразен с позиций налогового учета.</w:t>
      </w:r>
      <w:r>
        <w:br/>
      </w:r>
      <w:r>
        <w:rPr>
          <w:rFonts w:ascii="Times New Roman"/>
          <w:b w:val="false"/>
          <w:i w:val="false"/>
          <w:color w:val="000000"/>
          <w:sz w:val="28"/>
        </w:rPr>
        <w:t>
      За базу принимаются фактические объемы регулируемых услуг за четыре квартала, предшествующие представлению материалов или за предыдущий календарный год в соответствии с </w:t>
      </w:r>
      <w:r>
        <w:rPr>
          <w:rFonts w:ascii="Times New Roman"/>
          <w:b w:val="false"/>
          <w:i w:val="false"/>
          <w:color w:val="000000"/>
          <w:sz w:val="28"/>
        </w:rPr>
        <w:t>пунктом 35</w:t>
      </w:r>
      <w:r>
        <w:rPr>
          <w:rFonts w:ascii="Times New Roman"/>
          <w:b w:val="false"/>
          <w:i w:val="false"/>
          <w:color w:val="000000"/>
          <w:sz w:val="28"/>
        </w:rPr>
        <w:t xml:space="preserve"> Правил утверждения тарифов (цен, ставок сборов) и тарифных смет на регулируемые услуги (товары, работы) субъектов естественных монополий, утвержденных приказом Председателя Агентства Республики Казахстан по регулированию естественных монополий от 19 июля 2013 года № 215-ОД, зарегистрированным в Реестре государственной регистрации нормативных правовых актов за № 8642.</w:t>
      </w:r>
      <w:r>
        <w:br/>
      </w:r>
      <w:r>
        <w:rPr>
          <w:rFonts w:ascii="Times New Roman"/>
          <w:b w:val="false"/>
          <w:i w:val="false"/>
          <w:color w:val="000000"/>
          <w:sz w:val="28"/>
        </w:rPr>
        <w:t>
      При снижении объемов регулируемых услуг, по сравнению с фактическими объемами, представляются материалы, обосновывающие и подтверждающие снижение.</w:t>
      </w:r>
      <w:r>
        <w:br/>
      </w:r>
      <w:r>
        <w:rPr>
          <w:rFonts w:ascii="Times New Roman"/>
          <w:b w:val="false"/>
          <w:i w:val="false"/>
          <w:color w:val="000000"/>
          <w:sz w:val="28"/>
        </w:rPr>
        <w:t>
</w:t>
      </w:r>
      <w:r>
        <w:rPr>
          <w:rFonts w:ascii="Times New Roman"/>
          <w:b w:val="false"/>
          <w:i w:val="false"/>
          <w:color w:val="000000"/>
          <w:sz w:val="28"/>
        </w:rPr>
        <w:t>
      23. К неконтролируемым затратам региональных электросетевых компаний относятся затраты, на величину которых региональная электросетевая компания не оказывает прямое влияние. Неконтролируемыми затратами региональных электросетевых компаний являются налоги (за исключением налогов, зависящих от уровня затрат на оплату труда), затраты на компенсацию технологического расхода электрической энергии при передаче и распределении, плата за услуги системного оператора, расходы на выплату вознаграждения за заемные средства для реализации инвестиционной программы региональными электросетевыми компаниями, утвержденной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инвестиционной программы (проекта) субъекта естественной монополии и ее корректировки, утвержденными приказом Министра национальной экономики Республики Казахстан от 30 декабря 2014 года № 194, зарегистрированным в Реестре государственной регистрации нормативных правовых актов за № 10459 и затраты, возникающие в результате непредвиденных (форс-мажорных) событий. Неконтролируемые затраты исключаются из результативного признака. </w:t>
      </w:r>
      <w:r>
        <w:br/>
      </w:r>
      <w:r>
        <w:rPr>
          <w:rFonts w:ascii="Times New Roman"/>
          <w:b w:val="false"/>
          <w:i w:val="false"/>
          <w:color w:val="000000"/>
          <w:sz w:val="28"/>
        </w:rPr>
        <w:t>
</w:t>
      </w:r>
      <w:r>
        <w:rPr>
          <w:rFonts w:ascii="Times New Roman"/>
          <w:b w:val="false"/>
          <w:i w:val="false"/>
          <w:color w:val="000000"/>
          <w:sz w:val="28"/>
        </w:rPr>
        <w:t xml:space="preserve">
      24. Неконтролируемые затраты региональных электросетевых компаний учитываются в тарифах региональных электросетевых компаний на услуги по передаче и распределению электрической энергии на основе представленных региональными электросетевыми компаниями обосновывающих материалов. </w:t>
      </w:r>
      <w:r>
        <w:br/>
      </w:r>
      <w:r>
        <w:rPr>
          <w:rFonts w:ascii="Times New Roman"/>
          <w:b w:val="false"/>
          <w:i w:val="false"/>
          <w:color w:val="000000"/>
          <w:sz w:val="28"/>
        </w:rPr>
        <w:t>
</w:t>
      </w:r>
      <w:r>
        <w:rPr>
          <w:rFonts w:ascii="Times New Roman"/>
          <w:b w:val="false"/>
          <w:i w:val="false"/>
          <w:color w:val="000000"/>
          <w:sz w:val="28"/>
        </w:rPr>
        <w:t>
      25. Налоги определяются в соответствии со ставками, порядком и условиями оплаты, установленными требованиями налогового</w:t>
      </w:r>
      <w:r>
        <w:rPr>
          <w:rFonts w:ascii="Times New Roman"/>
          <w:b w:val="false"/>
          <w:i w:val="false"/>
          <w:color w:val="000000"/>
          <w:sz w:val="28"/>
        </w:rPr>
        <w:t xml:space="preserve"> законодательства</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Расходы на выплату вознаграждения по заемным средствам, полученным в национальной валюте, для реализации инвестиционного проекта учитываются при расчете тарифа (цены, ставки сбора) в пределах суммы, рассчитанной с применением 2-х кратной официальной ставки рефинансирования, установленной Национальным Банком Республики Казахстан.</w:t>
      </w:r>
      <w:r>
        <w:br/>
      </w:r>
      <w:r>
        <w:rPr>
          <w:rFonts w:ascii="Times New Roman"/>
          <w:b w:val="false"/>
          <w:i w:val="false"/>
          <w:color w:val="000000"/>
          <w:sz w:val="28"/>
        </w:rPr>
        <w:t>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(цены, ставки сбора) в пределах суммы, рассчитанной с применением 4-х кратной ставки Лондонского межбанковского рынка.</w:t>
      </w:r>
      <w:r>
        <w:br/>
      </w: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(цены, ставки сбора) с учетом прогнозируемого изменения курса тенге к иностранной валюте на основании основных показателей </w:t>
      </w:r>
      <w:r>
        <w:rPr>
          <w:rFonts w:ascii="Times New Roman"/>
          <w:b w:val="false"/>
          <w:i w:val="false"/>
          <w:color w:val="000000"/>
          <w:sz w:val="28"/>
        </w:rPr>
        <w:t>прогноза</w:t>
      </w:r>
      <w:r>
        <w:rPr>
          <w:rFonts w:ascii="Times New Roman"/>
          <w:b w:val="false"/>
          <w:i w:val="false"/>
          <w:color w:val="000000"/>
          <w:sz w:val="28"/>
        </w:rPr>
        <w:t xml:space="preserve"> социально-экономического развития Республики Казахстан и прогнозных показателей республиканского бюджета Республики Казахстан.</w:t>
      </w:r>
      <w:r>
        <w:br/>
      </w:r>
      <w:r>
        <w:rPr>
          <w:rFonts w:ascii="Times New Roman"/>
          <w:b w:val="false"/>
          <w:i w:val="false"/>
          <w:color w:val="000000"/>
          <w:sz w:val="28"/>
        </w:rPr>
        <w:t>
      Ставка рефинансирования Национального Банка Республики Казахстан и ставка Лондонского межбанковского рынка применяются на день принятия решения по утверждению тарифа (цены, ставки сбора) и тарифных смет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xml:space="preserve">
      26. Амортизационные отчисления основных средств и нематериальных активов, рассчитываются по прямолинейному (равномерному) методу начисления. Применение прямолинейного (равномерного) метода начисления износа основных средств и нематериальных активов осуществляется без согласования с уполномоченным органом. Применение и начисление амортизации иными методами начисления амортизации согласовывается с уполномоченным органом. </w:t>
      </w:r>
      <w:r>
        <w:br/>
      </w:r>
      <w:r>
        <w:rPr>
          <w:rFonts w:ascii="Times New Roman"/>
          <w:b w:val="false"/>
          <w:i w:val="false"/>
          <w:color w:val="000000"/>
          <w:sz w:val="28"/>
        </w:rPr>
        <w:t>
</w:t>
      </w:r>
      <w:r>
        <w:rPr>
          <w:rFonts w:ascii="Times New Roman"/>
          <w:b w:val="false"/>
          <w:i w:val="false"/>
          <w:color w:val="000000"/>
          <w:sz w:val="28"/>
        </w:rPr>
        <w:t>
      27. Прибыль, учитываемая при расчете тарифа, определяется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утвержденной приказом Председателя Агентства Республики Казахстан по регулированию естественных монополий и защите конкуренции от 27 января 2003 года № 17-ОД, зарегистрированной в Реестре государственной регистрации нормативных правовых актов за № 2154. </w:t>
      </w:r>
      <w:r>
        <w:br/>
      </w:r>
      <w:r>
        <w:rPr>
          <w:rFonts w:ascii="Times New Roman"/>
          <w:b w:val="false"/>
          <w:i w:val="false"/>
          <w:color w:val="000000"/>
          <w:sz w:val="28"/>
        </w:rPr>
        <w:t>
</w:t>
      </w:r>
      <w:r>
        <w:rPr>
          <w:rFonts w:ascii="Times New Roman"/>
          <w:b w:val="false"/>
          <w:i w:val="false"/>
          <w:color w:val="000000"/>
          <w:sz w:val="28"/>
        </w:rPr>
        <w:t>
      28. Результаты проведенного сравнительного анализа и расчета тарифов на регулируемые услуги по передаче и распределению электрической энергии по сетям региональных электросетевых компаний оформляются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 </w:t>
      </w:r>
    </w:p>
    <w:bookmarkEnd w:id="18"/>
    <w:bookmarkStart w:name="z13" w:id="1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Методике расчета тарифа</w:t>
      </w:r>
      <w:r>
        <w:br/>
      </w:r>
      <w:r>
        <w:rPr>
          <w:rFonts w:ascii="Times New Roman"/>
          <w:b w:val="false"/>
          <w:i w:val="false"/>
          <w:color w:val="000000"/>
          <w:sz w:val="28"/>
        </w:rPr>
        <w:t xml:space="preserve">
с применением метода  </w:t>
      </w:r>
      <w:r>
        <w:br/>
      </w:r>
      <w:r>
        <w:rPr>
          <w:rFonts w:ascii="Times New Roman"/>
          <w:b w:val="false"/>
          <w:i w:val="false"/>
          <w:color w:val="000000"/>
          <w:sz w:val="28"/>
        </w:rPr>
        <w:t>
сравнительного анализа</w:t>
      </w:r>
    </w:p>
    <w:bookmarkEnd w:id="19"/>
    <w:p>
      <w:pPr>
        <w:spacing w:after="0"/>
        <w:ind w:left="0"/>
        <w:jc w:val="both"/>
      </w:pPr>
      <w:r>
        <w:rPr>
          <w:rFonts w:ascii="Times New Roman"/>
          <w:b w:val="false"/>
          <w:i w:val="false"/>
          <w:color w:val="000000"/>
          <w:sz w:val="28"/>
        </w:rPr>
        <w:t xml:space="preserve">Форма           </w:t>
      </w:r>
    </w:p>
    <w:bookmarkStart w:name="z40" w:id="20"/>
    <w:p>
      <w:pPr>
        <w:spacing w:after="0"/>
        <w:ind w:left="0"/>
        <w:jc w:val="both"/>
      </w:pPr>
      <w:r>
        <w:rPr>
          <w:rFonts w:ascii="Times New Roman"/>
          <w:b w:val="false"/>
          <w:i w:val="false"/>
          <w:color w:val="000000"/>
          <w:sz w:val="28"/>
        </w:rPr>
        <w:t>
</w:t>
      </w:r>
      <w:r>
        <w:rPr>
          <w:rFonts w:ascii="Times New Roman"/>
          <w:b/>
          <w:i w:val="false"/>
          <w:color w:val="000000"/>
          <w:sz w:val="28"/>
        </w:rPr>
        <w:t>      Результаты проведенного сравнительного анализа</w:t>
      </w:r>
      <w:r>
        <w:br/>
      </w:r>
      <w:r>
        <w:rPr>
          <w:rFonts w:ascii="Times New Roman"/>
          <w:b w:val="false"/>
          <w:i w:val="false"/>
          <w:color w:val="000000"/>
          <w:sz w:val="28"/>
        </w:rPr>
        <w:t>
</w:t>
      </w:r>
      <w:r>
        <w:rPr>
          <w:rFonts w:ascii="Times New Roman"/>
          <w:b/>
          <w:i w:val="false"/>
          <w:color w:val="000000"/>
          <w:sz w:val="28"/>
        </w:rPr>
        <w:t>        на регулируемые услуги по передаче и распределению</w:t>
      </w:r>
      <w:r>
        <w:br/>
      </w:r>
      <w:r>
        <w:rPr>
          <w:rFonts w:ascii="Times New Roman"/>
          <w:b w:val="false"/>
          <w:i w:val="false"/>
          <w:color w:val="000000"/>
          <w:sz w:val="28"/>
        </w:rPr>
        <w:t>
</w:t>
      </w:r>
      <w:r>
        <w:rPr>
          <w:rFonts w:ascii="Times New Roman"/>
          <w:b/>
          <w:i w:val="false"/>
          <w:color w:val="000000"/>
          <w:sz w:val="28"/>
        </w:rPr>
        <w:t>электрической энергии по сетям региональных электросетевых</w:t>
      </w:r>
      <w:r>
        <w:br/>
      </w:r>
      <w:r>
        <w:rPr>
          <w:rFonts w:ascii="Times New Roman"/>
          <w:b w:val="false"/>
          <w:i w:val="false"/>
          <w:color w:val="000000"/>
          <w:sz w:val="28"/>
        </w:rPr>
        <w:t>
</w:t>
      </w:r>
      <w:r>
        <w:rPr>
          <w:rFonts w:ascii="Times New Roman"/>
          <w:b/>
          <w:i w:val="false"/>
          <w:color w:val="000000"/>
          <w:sz w:val="28"/>
        </w:rPr>
        <w:t>                         компаний</w:t>
      </w:r>
    </w:p>
    <w:bookmarkEnd w:id="20"/>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(наименование региональных электросетевых компаний)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5871"/>
        <w:gridCol w:w="2258"/>
        <w:gridCol w:w="903"/>
        <w:gridCol w:w="903"/>
        <w:gridCol w:w="903"/>
        <w:gridCol w:w="903"/>
        <w:gridCol w:w="1055"/>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показатели</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территории обслуживания</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километр квадрат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присоединенных потребителей (абонентов)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протяженность линий электропередачи</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силовых трансформаторов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мощность силовых трансформаторов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мегавольт-ампер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в электрических сетях, зафиксированная в течение предшествующего календарного года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мегаватт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потери электрической энергии в электрических сетях за предшествующий календарный год</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киловатт-час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передачи электрической энергии за предшествующий календарный год</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киловатт-час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Х-фактора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показатели</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региональной электросетевой компанией на оказание услуг на передачу и распределение электрической энергии (в расчете на календарный год, за вычетом неконтролируемых затрат и амортизации с приложением расшифровки)</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основных средств и нематериальных активов в расчете на календарный год</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Неконтролируемые затраты региональной электросетевой компании в расчете на календарный год, в том числе: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компенсацию технологического расхода электрической энергии при передаче и распределении</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услуги системного оператора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вознаграждения за заемные средства для реализации инвестиционной программы региональными электросетевыми компаниями, утвержденной в установленном законодательством порядке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возникающие в результате непредвиденных (форс-мажорных) событий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передачи электрической энергии по сетям региональных электросетевых компаний, учитываемый при формировании тарифа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киловатт-час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на услуги по передаче и распределению электрической энергии с разбивкой на пять и более лет</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 за киловатт-час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