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9ba3d" w14:textId="599ba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аккредитации независимых организаций, осуществляющих верификацию, валидацию (детерминацию) и подтверждение отчета об инвентаризации парниковых газов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энергетики Республики Казахстан от 18 марта 2015 года № 215. Зарегистрирован в Министерстве юстиции Республики Казахстан 15 мая 2015 года № 11061. Утратил силу приказом Министра энергетики Республики Казахстан от 24 мая 2016 года № 215</w:t>
      </w:r>
    </w:p>
    <w:p>
      <w:pPr>
        <w:spacing w:after="0"/>
        <w:ind w:left="0"/>
        <w:jc w:val="both"/>
      </w:pPr>
      <w:bookmarkStart w:name="z8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энергетики РК от 24.05.2016 </w:t>
      </w:r>
      <w:r>
        <w:rPr>
          <w:rFonts w:ascii="Times New Roman"/>
          <w:b w:val="false"/>
          <w:i w:val="false"/>
          <w:color w:val="ff0000"/>
          <w:sz w:val="28"/>
        </w:rPr>
        <w:t>№ 215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158-4 Экологического кодекса Республики Казахстан от 9 января 2007 года,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аккредитации независимых организаций, осуществляющих верификацию, валидацию (детерминацию) и подтверждение отчета об инвентаризации парниковых газов.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по изменению климата Министерства энергетики Республики Казахстан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направление на официальное опубликование настоящего приказа в течение десяти календарных дней после его государственной регистрации в Министерстве юстиции Республики Казахстан в периодические печатные издания и в информационно-правовой системе «Әділет»;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энергетики Республики Казахстан и на интранет-портале государственных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мероприятий, предусмотренных подпунктами 2) и 3) настоящего пункта.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энергетики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двадцати одного календарного дня после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 энергетики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В. Школьник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509"/>
        <w:gridCol w:w="6491"/>
      </w:tblGrid>
      <w:tr>
        <w:trPr>
          <w:trHeight w:val="30" w:hRule="atLeast"/>
        </w:trPr>
        <w:tc>
          <w:tcPr>
            <w:tcW w:w="75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«СОГЛАСОВАН»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_____________________ А. Исекешев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«__»___________2015 год</w:t>
            </w:r>
          </w:p>
        </w:tc>
        <w:tc>
          <w:tcPr>
            <w:tcW w:w="64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«СОГЛАСОВАН»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_____________________ Е. Досаев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«__»___________2015 год</w:t>
            </w:r>
          </w:p>
        </w:tc>
        <w:tc>
          <w:tcPr>
            <w:tcW w:w="64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«СОГЛАСОВАН»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 М. Кусаинов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«__»___________2015 год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Министра энергетики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18 марта 2015 года № 215</w:t>
      </w:r>
    </w:p>
    <w:bookmarkStart w:name="z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 аккредитации независимых организаций, осуществляющих</w:t>
      </w:r>
      <w:r>
        <w:br/>
      </w:r>
      <w:r>
        <w:rPr>
          <w:rFonts w:ascii="Times New Roman"/>
          <w:b/>
          <w:i w:val="false"/>
          <w:color w:val="000000"/>
        </w:rPr>
        <w:t>
верификацию, валидацию (детерминацию) и подтверждение отчета</w:t>
      </w:r>
      <w:r>
        <w:br/>
      </w:r>
      <w:r>
        <w:rPr>
          <w:rFonts w:ascii="Times New Roman"/>
          <w:b/>
          <w:i w:val="false"/>
          <w:color w:val="000000"/>
        </w:rPr>
        <w:t>
об инвентаризации парниковых газов</w:t>
      </w:r>
    </w:p>
    <w:bookmarkEnd w:id="2"/>
    <w:bookmarkStart w:name="z1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аккредитации независимых организаций, осуществляющих верификацию, валидацию (детерминацию) и подтверждение отчета об инвентаризации парниковых газов (далее - Правила),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158-4 Экологического кодекса Республики Казахстан и определяют порядок проведения аккредитации независимых организаций, осуществляющих профессиональную верификационную и валидационную (детерминационную) деятельность в области сокращения выбросов и поглощений парниковых газов, а также подтверждения отчета об инвентаризации парниковых газов.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аккредитация – процедура официального признания уполномоченным органом в области охраны окружающей среды компетентности независисмой организации выполнять профессиональную верификационную и валидационную (детерминационную) деятельность в области сокращения выбросов и поглощений парниковых газов, а также подтверждение </w:t>
      </w:r>
      <w:r>
        <w:rPr>
          <w:rFonts w:ascii="Times New Roman"/>
          <w:b w:val="false"/>
          <w:i w:val="false"/>
          <w:color w:val="000000"/>
          <w:sz w:val="28"/>
        </w:rPr>
        <w:t>отчета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инвентаризации парниковых газов;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валидация (детерминация) – проверка использования методик и порядка подготовки проектных решений и документации в рамках разработки проектов по сокращению выбросов и поглощению парниковых газов на предмет соответствия требованиям, установленным международными договорами Республики Казахстан, осуществляемая независимой аккредитованной организацией;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верификация – процесс подтверждения данных относительно сокращения объемов выбросов парниковых газов, который осуществляется в соответствии с принятыми национальными и международными стандартами в области сокращения выбросов парниковых газов независимой аккредитованной организацией;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подтверждение отчета об инвентаризации парниковых газов – процесс подтверждения независимой аккредитованной организацией объемов выбросов парниковых газов, заявленных природопользователем в предоставляемом на рассмотрение уполномоченного органа в области охраны окружающей среды отчете о фактическом объеме выбросов парниковых газов за отчетный период.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 </w:t>
      </w:r>
      <w:r>
        <w:rPr>
          <w:rFonts w:ascii="Times New Roman"/>
          <w:b w:val="false"/>
          <w:i w:val="false"/>
          <w:color w:val="000000"/>
          <w:sz w:val="28"/>
        </w:rPr>
        <w:t>Уполномоченный орган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в области охраны окружающей среды (далее – уполномоченный орган) проводит аккредитацию независимых организаций, осуществляющих профессиональную верификационную и валидационную (детерминационную) деятельность в области сокращения выбросов и поглощений парниковых газов, а также подтверждение </w:t>
      </w:r>
      <w:r>
        <w:rPr>
          <w:rFonts w:ascii="Times New Roman"/>
          <w:b w:val="false"/>
          <w:i w:val="false"/>
          <w:color w:val="000000"/>
          <w:sz w:val="28"/>
        </w:rPr>
        <w:t>отчета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инвентаризации парниковых газов и формирует базу данных аккредитованных организаций, получивших </w:t>
      </w:r>
      <w:r>
        <w:rPr>
          <w:rFonts w:ascii="Times New Roman"/>
          <w:b w:val="false"/>
          <w:i w:val="false"/>
          <w:color w:val="000000"/>
          <w:sz w:val="28"/>
        </w:rPr>
        <w:t>свидетельства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аккредитации, а также прекративших действие свидетельств, которая размещается на его интернет-ресурсах.</w:t>
      </w:r>
    </w:p>
    <w:bookmarkEnd w:id="4"/>
    <w:bookmarkStart w:name="z1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проведения аккредитации</w:t>
      </w:r>
    </w:p>
    <w:bookmarkEnd w:id="5"/>
    <w:bookmarkStart w:name="z1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Аккредитация организаций, осуществляющих подтверждение отчета об инвентаризации парниковых газов, проводится по следующим областям их профессиональной деятельности (отраслям экономики, подпадающим под требования по квотированию выбросов парниковых газов):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нефтегазовая отрасль;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энергетика;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горно-металлургическая отрасль;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химическая отрасль;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сельское хозяйство;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транспорт.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Аккредитация организаций, осуществляющих верификацию, валидацию (детерминацию), проводится по следующим областям профессиональной деятельности (отрасли экономики, в которых реализуются соответствующие проекты):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горно-металлургическая (в части проектов утилизации шахтного метана);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сельское хозяйство;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жилищно-коммунальное хозяйство;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лесное хозяйство и озеленение;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предотвращение деградации земель;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возобновляемые источники энергии;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переработка коммунальных и промышленных отходов;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транспорт;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энергоэффективное строительство.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Для прохождения аккредитации юридические лица представляют уполномоченному органу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копии учредительных документов: устава организации, свидетельства о государственной регистрации в качестве юридического лица или </w:t>
      </w:r>
      <w:r>
        <w:rPr>
          <w:rFonts w:ascii="Times New Roman"/>
          <w:b w:val="false"/>
          <w:i w:val="false"/>
          <w:color w:val="000000"/>
          <w:sz w:val="28"/>
        </w:rPr>
        <w:t>справке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учетной регистрации филиала*;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Примечание: свидетельство о государственной (учетной) регистрации (перерегистрации) юридического лица (филиала, представительства), выданное до введения в действие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24 декабря 2012 года «О внесении изменений и дополнений в некоторые законодательные акты Республики Казахстан по вопросам государственной регистрации юридических лиц и учетной регистрации филиалов и представительств», является действительным до прекращения деятельности юридического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документы, подтверждающие международное признание квалификации организации, или наличие не менее двух сотрудников, каждый из которых обладает не менее чем двухлетним подтвержденным опытом профессиональной деятельности по заявленным областям профессиональной деятельности,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пунктах 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наличие опыта у организации международной признанной квалификации по заявленным для аккредитации областям профессиональной деятельности подтверждается документом об аккредитации Наблюдательным комитетом по совместному осуществлению </w:t>
      </w:r>
      <w:r>
        <w:rPr>
          <w:rFonts w:ascii="Times New Roman"/>
          <w:b w:val="false"/>
          <w:i w:val="false"/>
          <w:color w:val="000000"/>
          <w:sz w:val="28"/>
        </w:rPr>
        <w:t>Рамочной конвенции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Объединенных Наций об изменении климата или документом от Наблюдательного комитета по управлению проектами механизма чистого развития или документом об аккредитации на проведение верификации и валидации в странах Организации экономического сотрудничества и развития (ОЭСР);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наличие сотрудников и их опыта работы по заявленным для аккредитации видам и областям профессиональной деятельности подтверждается трудовыми договорами, заключенными с организацией на момент подачи заявления на проведение аккредитации и предшествующими договорами, подтверждающими не менее чем двухлетний опыт сотрудников. При этом один и тот же специалист не может быть заявлен в качестве сотрудника двумя или несколькими независимыми организациями;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список сотрудников организации, которые будут осуществлять работы по заявленным видам и областям профессиональной деятельности,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в течение двух рабочих дней с момента получения документов юридического лица проверяет полноту представленных документов. В случае установления факта неполноты представленных документов, уполномоченный орган в указанные сроки дает письменный мотивированный отказ в дальнейшем рассмотрении заявления. В случае истечения срока рассмотрения полноты документов, неполный пакет документов не является основанием для отказа в рассмотрении заявления.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По итогам рассмотрения документов, указанных в пункте 6 настоящих Правил, уполномоченный орган в срок, не превышающий пятнадцати календарных дней со дня подачи заявления, выдает свидетельство об аккредитации организации, либо мотивированный отказ.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Решение об отказе в аккредитации принимается в случае, если в представленных документах содержатся недостоверные сведения или не подтверждается квалификация сотрудников организации.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Свидетельство об аккредитации оформляется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Уполномоченный орган указывает в свидетельстве об аккредитации вид (виды) и область (области) профессиональной деятельности, на которые оно выдается.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Свидетельство об аккредитации выдается юридическому лицу либо его уполномоченному представителю под роспись на основании доверенности от юридического лица, оформленной в соответствии с требованиями, установленными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Свидетельство об аккредитации прекращает свое действие в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реорганизации или ликвидации юридического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письменного заявления организации о прекращении профессиональной деятельности, по которой выдано свидетельство об аккредитации;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истечения срока действия свидетельства об аккредитации.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В случаях прекращения действия свидетельства об аккредитации, уполномоченный орган производит соответствующую запись в базе данных по независимым аккредитованным организациям.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В случаях,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пунктах 7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если уполномоченный орган не выдает (не переоформляет) свидетельство об аккредитации либо не предоставляет мотивированный отказ в установленный срок, то решение об аккредитации (о переоформлении свидетельства об аккредитации) считается полученным заявителем и в базу данных по независимым аккредитованным организациям вносится соответствующая запись.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данном случае уполномоченный орган выдает свидетельство об аккредитации в течение пяти календарных дней после истечения срока, установленного для выдачи свидетельства об аккредитации.</w:t>
      </w:r>
    </w:p>
    <w:bookmarkEnd w:id="6"/>
    <w:bookmarkStart w:name="z3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Приостановление, возобновление действия свидетельства</w:t>
      </w:r>
      <w:r>
        <w:br/>
      </w:r>
      <w:r>
        <w:rPr>
          <w:rFonts w:ascii="Times New Roman"/>
          <w:b/>
          <w:i w:val="false"/>
          <w:color w:val="000000"/>
        </w:rPr>
        <w:t>
об аккредитации</w:t>
      </w:r>
    </w:p>
    <w:bookmarkEnd w:id="7"/>
    <w:bookmarkStart w:name="z3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Свидетельство об аккредитации подлежит переоформлению в случае перерегистрации (изменения наименования) юридического лица. Аккредитованная организация подает заявление в уполномоченный орган о переоформлении свидетельства об аккредитации с приложением документов, подтверждающих необходимость переоформления, в течение одного месяца со дня выдачи справки о перерегистрации юридического лица.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Уполномоченный орган не позднее пяти календарных дней со дня подачи соответствующего письменного заявления переоформляет свидетельство об аккредитации либо предоставляет мотивированный отказ.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Свидетельство об аккредитации, выданное ранее, признается недействительным, и уполномоченным органом вносится соответствующая информация в базу данных независимых аккредитованных организаций.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В случае утери или порчи выданного свидетельства об аккредитации, ранее аккредитованная организация подает заявление о представлении дубликата свидетельства об аккредитации в уполномоченный орган.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не позднее трех рабочих дней со дня подачи заявления выдает дубликат свидетельства об аккредитации.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Приостановление свидетельства об аккредитации осуществляется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330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об административных правонарушениях.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19. По истечении срока приостановления действия свидетельства об аккредитации уполномоченный орган производит соответствующую запись о возобновлении действия свидетельства об аккредитации в базе данных по независимым аккредитованным организациям. </w:t>
      </w:r>
    </w:p>
    <w:bookmarkEnd w:id="8"/>
    <w:bookmarkStart w:name="z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аккредитации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независимых организаций,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осуществляющих верификацию,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валидацию (детерминацию)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подтверждение отчета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 инвентаризации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парниковых газов  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    </w:t>
      </w:r>
    </w:p>
    <w:bookmarkStart w:name="z3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  
</w:t>
      </w:r>
      <w:r>
        <w:rPr>
          <w:rFonts w:ascii="Times New Roman"/>
          <w:b/>
          <w:i w:val="false"/>
          <w:color w:val="000000"/>
          <w:sz w:val="28"/>
        </w:rPr>
        <w:t>     Заявление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Прошу провести аккредитацию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(наименование организации)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осуществления следующих видов профессиональной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деятельности: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(указываются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проведением работ по следующим областям: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(указываются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пунктами 4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 » 20__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(место печати) (подпись) (Ф.И.О.)</w:t>
      </w:r>
    </w:p>
    <w:bookmarkStart w:name="z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аккредитации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независимых организаций,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осуществляющих верификацию,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валидацию (детерминацию)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подтверждение отчета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 инвентаризации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парниковых газов  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 Список сотрудников организации, которые будут осуществлять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 работы по заявленным видам и областям профессиональной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 деятельности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7"/>
        <w:gridCol w:w="2700"/>
        <w:gridCol w:w="2576"/>
        <w:gridCol w:w="5684"/>
        <w:gridCol w:w="2403"/>
      </w:tblGrid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№, п/п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 сотрудника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проживания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Предыдущий опыт работы по заявленным для аккредитации видам и областям профессиональной деятельности с указанием проектов, названий организаций, по которым проводилось подтверждение отчета об инвентаризации парниковых газов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сотрудника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к Правилам аккредитации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независимых организаций,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осуществляющих верификацию,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валидацию (детерминацию)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подтверждение отчета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 инвентаризации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парниковых газов  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    Свидетельство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 об аккредитации организации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г. Астана                                         « » 20___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158-4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Экологического кодекса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(наименование организации)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аккредитуется для осуществления следующих видов профессиональной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деятельности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 проведением работ по следующим областям: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Уполномоченный орган в области охраны окружающей среды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М. 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Серия ____    № ____________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