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064" w14:textId="6faf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утверждению и регистрации одобрений типа транспортного средства, одобрений типа шасси и Правил по проверке правильности и обоснованности оформления одобрений типа транспортного средства, одобрений типа шасси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24 февраля 2015 года № 170. Зарегистрирован в Министерстве юстиции Республики Казахстан 15 мая 2015 года № 11062. Утратил силу приказом Министра торговли и интеграции Республики Казахстан от 14 мая 2021 года № 336-НҚ,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14.05.2021 </w:t>
      </w:r>
      <w:r>
        <w:rPr>
          <w:rFonts w:ascii="Times New Roman"/>
          <w:b w:val="false"/>
          <w:i w:val="false"/>
          <w:color w:val="ff0000"/>
          <w:sz w:val="28"/>
        </w:rPr>
        <w:t>№ 336-НҚ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третьей статьи 7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по проверке правильности и обоснованности оформления одобрений типа транспортного средства, одобрений типа шасси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по утверждению и регистрации одобрений типа транспортного средства, одобрений типа шасси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(Канешев Б.Б.)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марта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проверке правильности и обоснованности оформления одобрений типа транспортного средства, одобрений типа шасси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проверке правильности и обоснованности оформления одобрений типа транспортного средства, одобрений типа шасси (далее – Правила) приняты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определяют порядок проверки правильности и обоснованности оформления одобрений типа транспортного средства, одобрений типа шасси, осуществляемой техническим секретариатом компетентного органа.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- лицо, осуществляющее изготовление транспортного средства (шасси) или его компонентов с намерением выпуска их в обращение для реализации либо собственного пользования;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категория транспортного средства – классификационная характеристика транспортного средства, применяемая в целях установления требований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техническом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ТР ТС 018/2011 "О безопасности колесных транспортных средств", утвержденном Решением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 (далее – ТР ТС 018/2011);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одобрение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- документ, удостоверяющий соответствие выпускаемых в обращение транспортных средств,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тип транспортного средства (шасси) – транспортные средства (шасси) с общими конструктивными признаками, зафиксированными в техническом описании, изготовленные одним изготовителем;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компетентный орган – уполномоченный государственный орган, осуществляющий функции компетентного органа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городе Женева 20 марта 1958 года (далее – Женевское соглашение 1958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несоответствие - невыполнение установленного требования;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установление тождественности заводской маркировки, имеющейся на транспортном средстве (шасси) и его компонентах, и данных, содержащихся в представленной заявителем документации либо в удостоверяющих соответствие документах, проводимое без разборки транспортного средства (шасси) или его компонентов;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техническая служба - уполномоченная организация по проведению испытаний для официального утверждения типа транспортного средства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Женевского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1958 года;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технический секретариат – организация, определяемая уполномоченным органом на осуществление деятельности по проверке правильности и обоснованности оформления одобрения типа транспортного средства, одобрения типа шасси;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сообщение об официальном утверждении типа - документ, выдаваемый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Женевского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1958 года, удостоверяющий соответствие транспортного средства или его компонента требованиям Правил Европейской экономической комиссии Организации Объединенных Наций;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одобрение типа шасси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удостоверяющий соответствие выпускаемых в обращение шасси,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проверки правильности и обоснованности оформления одобрений типа транспортного средства, одобрений типа шасси</w:t>
      </w:r>
    </w:p>
    <w:bookmarkEnd w:id="19"/>
    <w:bookmarkStart w:name="z1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Проверку правильности и обоснованности оформления одобрений типа транспортного средства, одобрений типа шасси осуществляет технический секретариат компетентного органа.</w:t>
      </w:r>
    </w:p>
    <w:bookmarkEnd w:id="20"/>
    <w:bookmarkStart w:name="z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 по подтверждению соответствия представляет на бумажном и электронном носителях (в формате PDF) следующие документы: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оригинал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одобрений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одобрений типа шасси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подписями руководителя органа по подтверждению соответствия или уполномоченного им лица и печатями органа по подтверждению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одобрений типа транспортного средства, одобрений типа шасси с подписями руководителя органа по подтверждению соответствия или уполномоченного им лица и печатями органа по подтверждению соответствия (копия снимается с неподписанного и не проштампованного документа после распечатки документа на бланках, после чего копия подписывается и проштамповывается аналогично оригиналу документа);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заявки на проведение работ по оценке соответствия;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органа по подтверждению соответствия по заявке;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заключения органа по подтверждению соответствия (согласно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 в зависимости от применяемой при оформлении представленного документа процедуры);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общего технического описания транспортных средств (шасси), оформленное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акта органа по подтверждению соответствия о результатах проверки условий производства изготовителя (в случае проверки перед выдачей одобрений типа транспортного средства, одобрений типа шасси) или материала анализа проверки условий производства изготовителя, если такая проверка проводилась;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1.3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 ТР ТС 018/2011 (при оценке соответствия транспортных средств, изготавливаемых на базе шасси или транспортных средств, приобретаемых у стороннего изготовителя);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 ТР ТС 018/2011 (при оценке соответствия, впервые проводимой в отношении типа транспортного средства, сборка которого осуществляется из сборочных комплектов в режиме промышленной сборки, в отношении конструктивных аналогов которого, изготавливаемых в условиях другого производства, ранее была проведена оценка соответствия);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копии протокола идентификации и результатов испытаний комплектного транспортного средства, оформленный аккредитованной испытательной лабораторией,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 (при оформлении);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копии протокола идентификации и результатов испытаний комплектного транспортного средства при оформлении одобрений типа транспортного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случае не оформления или оформления испытательной лабораторией, не являющейся технической службой, орган по подтверждению соответствия представляет копии доказательственных материалов (сообщение об официальном утверждении типа,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 соответствия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протокол испытаний по Директиве Европейского Союза 92/23/ЕЕС с изменениями, внесенными Директивами 2001/43/ЕС и 2005/11/ЕС), подтверждающих соответствие продукции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, явившихся основанием для оформления одобрений типа транспортного средства и копии протоколов испытаний или экспертизы конструкции, явившихся основанием для оформления сертификатов соответствия заявленных транспортных средств (шасси) установленным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документы предоставляются с учетом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1.1.2.2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12 ТР ТС 018/2011, но только в том случае, если они были выданы не техническими службами;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копию идентификационной карточки одобрений типа транспортного средства, одобрений типа шасси,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предоставляемые копии должны быть заверены печатью органа по подтверждению соответствия.</w:t>
      </w:r>
    </w:p>
    <w:bookmarkStart w:name="z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Одобрения типа транспортного средства, одобрения типа шасси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регистрируется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электронном виде в журнале регистрации одобрений типа транспортного средства, одобрений типа шасси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1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Проверка правильности и обоснованности оформления одобрений типа транспортного средства, одобрений типа шасси осуществляется техническим секретариатом в течение тридцати рабочих дней, исчисляемых с даты их поступления в технический секретариат.</w:t>
      </w:r>
    </w:p>
    <w:bookmarkEnd w:id="23"/>
    <w:bookmarkStart w:name="z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проверке правильности и обоснованности оформления одобрений типа транспортного средства, одобрения типа шасси технический секретариат проверяет: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полноту представленных документов в соответствии с пунктом 4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правильность заполнения формы бланка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в соответствии с Правилами заполнения бланков одобрения типа транспортного средства, одобрения типа шасси, уведомления об отмене документа, удостоверяющего соответствие техническому регламенту, свидетельства о безопасности конструкции транспортного средства и свидетельства о соответствии транспортного средства с внесенными в его конструкцию изменениями требованиям безопасности, утвержденными решением Коллегии Евразийской экономической комиссии от 9 декабря 2014 года № 232;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органов по подтверждению соответствия в Едином реестре органов по сертификации и испытательных лабораторий (центров) Таможенного союза, в целях определения правомерности выдачи деклараций о соответствии и сертификатов соответствия.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Технический секретариат при положительном результате проверки правильности и обоснованности оформления одобрений типа транспортного средства, одобрений типа шасси направляет справку в произвольной форме о положительном результате проверки правильности и обоснованности оформления одобрений типа транспортного средства, одобрений типа шасси вместе с оригиналом одобрений типа транспортного средства, одобрений типа шасси в компетентный орган для утверждения.</w:t>
      </w:r>
    </w:p>
    <w:bookmarkEnd w:id="25"/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неполноты представленных документов и (или) их несоответствия требованиям, установленным в пунктах 4, 7 Правил, технический секретариат возвращает представленные документы с приложением письменного мотивированного отказа в орган по подтверждению соответствия в течение пятнадцати календарных дней, исчисляемых с даты их поступления в технический секретариат.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и 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одобрений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шасси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Идентификационная карточка</w:t>
      </w:r>
      <w:r>
        <w:br/>
      </w:r>
      <w:r>
        <w:rPr>
          <w:rFonts w:ascii="Times New Roman"/>
          <w:b/>
          <w:i w:val="false"/>
          <w:color w:val="000000"/>
        </w:rPr>
        <w:t>одобрения типа транспортного средства,</w:t>
      </w:r>
      <w:r>
        <w:br/>
      </w:r>
      <w:r>
        <w:rPr>
          <w:rFonts w:ascii="Times New Roman"/>
          <w:b/>
          <w:i w:val="false"/>
          <w:color w:val="000000"/>
        </w:rPr>
        <w:t>одобрения типа шасси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1"/>
        <w:gridCol w:w="6440"/>
        <w:gridCol w:w="4199"/>
      </w:tblGrid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дата регистрации заявки на проведение работ по оценке соответствия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… от …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тип транспортного средства/шасси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сведения из соответствующих граф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транспортного средства/шасси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одобрений типа транспортного средства, одобрений типа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… по …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транспортных средств/Представитель изготовителя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сведения из соответствующей графы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сведения из соответствующей графы одобрений типа транспортного средства, одобрений типа шасси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выданное одобрение типа транспортного средства, одобрение типа шасси на транспортные средства указанного типа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указать номер ранее выданного документа /…, выданное до вступления в силу ТР ТС 018/2011/не выдавалось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Особенности процедуры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исправление / распространение / продление /одобрений типа транспортного средства / одобрений типа шасси со сроком действия до 3-х лет / со сроком действия до одного года в соответствии с п. 35 ТР ТС 018/2011 / на малую партию ТС в соответствии с п. 35 ТР ТС 018/2011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выданного до вступления в силу ТР ТС 018/2011 на малую партию ТС / выданного до вступления в силу ТР ТС 018/2011 со сроком до ….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скорректировать в зависимости от особенностей конкретного случая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 производимые транспортные средства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производимые на базе транспортных средств (шасси)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изготовленные в режиме промышленной сборки из сборочных комплектов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регистрации изготовителя транспортного средства / шасси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договаривающейся стороной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Женевского Соглашения 1958 г.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является договаривающейся стороной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Женевского Соглашения 1958 г. 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сертифицированная система менеджмента качества, проверка условий производства, акты инспекционной проверки изготовителя, анализ описания условий производства, (скорректировать в зависимости от особенностей конкретного случая)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согласованного с органом по сертификации плана проведения контрольных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/ согласован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протокола идентификации и результатов испытаний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/ нет</w:t>
            </w:r>
          </w:p>
        </w:tc>
      </w:tr>
      <w:tr>
        <w:trPr>
          <w:trHeight w:val="30" w:hRule="atLeast"/>
        </w:trPr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... </w:t>
            </w:r>
          </w:p>
        </w:tc>
      </w:tr>
      <w:tr>
        <w:trPr>
          <w:trHeight w:val="30" w:hRule="atLeast"/>
        </w:trPr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</w:p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4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подтверждающего компетентность,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по подтверждению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соответствия                          подпись                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Выбирается такой формат шрифта, чтобы идентификационная карточка разместилась на одном листе.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правильности и 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одобрений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транспортного средства,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одобрений типа шасси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одобрений типа транспортного средства,</w:t>
      </w:r>
      <w:r>
        <w:br/>
      </w:r>
      <w:r>
        <w:rPr>
          <w:rFonts w:ascii="Times New Roman"/>
          <w:b/>
          <w:i w:val="false"/>
          <w:color w:val="000000"/>
        </w:rPr>
        <w:t>одобрений типа шасси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1857"/>
        <w:gridCol w:w="1083"/>
        <w:gridCol w:w="889"/>
        <w:gridCol w:w="696"/>
        <w:gridCol w:w="889"/>
        <w:gridCol w:w="696"/>
        <w:gridCol w:w="696"/>
        <w:gridCol w:w="1083"/>
        <w:gridCol w:w="3019"/>
        <w:gridCol w:w="503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одобрения типа транспортного средства, одобрения типа шасси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по подтверждению соответствия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и его адрес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транспортного средства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наименование транспортного средства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транспортного средства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транспортного средства 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поступления в технический секретариат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проверки правильности и обоснованности оформления одобрений типа транспортного средства, одобрений типа шасси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проверки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</w:tbl>
    <w:bookmarkStart w:name="z2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 утверждению и регистрации одобрений</w:t>
      </w:r>
      <w:r>
        <w:br/>
      </w:r>
      <w:r>
        <w:rPr>
          <w:rFonts w:ascii="Times New Roman"/>
          <w:b/>
          <w:i w:val="false"/>
          <w:color w:val="000000"/>
        </w:rPr>
        <w:t>типа транспортного средства, одобрений типа шасси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 утверждению и регистрации одобрений типа транспортного средства, одобрений типа шасси (далее – Правила) приняты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определяют порядок утверждения и регистрации одобрений типа транспортного средства, одобрений типа шасси.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одобрение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 - документ, удостоверяющий соответствие выпускаемых в обращение транспортных средств,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018/2011 "О безопасности колесных транспортных средств", утвержденного Решением Евразийской экономической комиссии от 9 декабря 2011 года № 877 "О принятии технического регламента Таможенного союза "О безопасности колесных транспортных средств" (далее - ТР ТС 018/2011);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компетентный орган – уполномоченный государственный орган, осуществляющий функции компетентного органа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принятии единообразных технических предписаний для колесных транспортных средств, предметов оборудования и частей, которые могут быть установлены и (или) использованы на колесных транспортных средствах, и об условиях взаимного признания официальных утверждений, выдаваемых на основе этих предписаний, заключенного в городе Женева 20 марта 1958 года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технический секретариат - организация, определяемая уполномоченным органом на осуществление деятельности по проверке правильности и обоснованности оформления одобрений типа транспортного средства, одобрений типа шасси;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одобрение типа шасси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удостоверяющий соответствие выпускаемых в обращение шасси, отнесенных к одному типу,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термины, используемые в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 ТС 018/2011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утверждения и регистрации одобрений типа транспортных средств, одобрений типа шасси</w:t>
      </w:r>
    </w:p>
    <w:bookmarkEnd w:id="34"/>
    <w:bookmarkStart w:name="z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Утверждение и регистрацию одобрений типа транспортного средства, одобрений типа шасси выполняет компетентный орган.</w:t>
      </w:r>
    </w:p>
    <w:bookmarkEnd w:id="35"/>
    <w:bookmarkStart w:name="z2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Технический секретариат для утверждения и регистрации одобрений типа транспортного средства, одобрений типа шасси представляет в компетентный орган оригинал одобрений типа транспортного средства, одобрений типа шасси с подписями руководителя органа по подтверждению соответствия или уполномоченного им лица и печатями органа по подтверждению соответствия.</w:t>
      </w:r>
    </w:p>
    <w:bookmarkEnd w:id="36"/>
    <w:bookmarkStart w:name="z2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Утверждение и регистрация одобрений типа транспортного средства, одобрений типа шасси осуществляется компетентным органом в течение десяти календарных дней, исчисляемых с даты их поступления в компетентный орган.</w:t>
      </w:r>
    </w:p>
    <w:bookmarkEnd w:id="37"/>
    <w:bookmarkStart w:name="z3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утверждения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одобрений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транспортного средства,  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одобрений типа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шасси компетентный орган направляет оригиналы одобрений типа транспортного средства, одобрений типа шасси в технический секретариат для внесения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018/2011 "О безопасности колесных транспортных средств" (далее – Единый реестр) и передачи в орган по подтверждению соответствия для последующей выдачи заявителю.</w:t>
      </w:r>
    </w:p>
    <w:bookmarkEnd w:id="38"/>
    <w:bookmarkStart w:name="z3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Технический секретариат вносит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 и дату утверждения одобрений типа транспортного средства, одобрений типа шасси, а также размещает указанную информацию на своем интернет-ресурсе в срок не более пяти рабочих дней с даты утверждения.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