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78f3" w14:textId="a09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транспортных средств органов военной полиции Национальной гвардии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апреля 2015 года № 370. Зарегистрирован в Министерстве юстиции Республики Казахстан от 22 мая 2015 года № 11136. Утратил силу приказом Министра внутренних дел Республики Казахстан от 4 мая 2023 года №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04.05.2023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21 февраля 2005 года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органов военной полиции Национальной гвардии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370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специальных транспортных средств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тактико-технические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Установленное специальное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Специальные автомобили военной автомобильной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Автомобиль сопровождения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более 3000 куб.см; трансмиссия – автоматическая,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9 сек.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 цветографическим схемам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транспортных средств воинских колонн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более 4000 см. куб.; трансмиссия – автоматическая,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— не более 9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1600 см. куб.; трансмиссия -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транспортных средств воинских колонн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2300 куб.см; трансмиссия – автоматическая,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Двигатель- бензиновый, дизельный; трансмиссия - автоматическая,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формула-полноприводная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 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транспортных средств воинских колонн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Передвижной пункт технического осмотра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2000 см. куб.;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- автоматическая,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Контрольно-диагностическое оборудование, радиостанция, световая и звуковая сигнализация, видеорегистратор, окраска по специальным 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технического состояния транспортных средств при проведении обязательного технического осмотра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